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D4413C" w14:textId="7043FD24" w:rsidR="00C1515C" w:rsidRPr="007C02EF" w:rsidRDefault="00C1515C" w:rsidP="007C02EF">
      <w:pPr>
        <w:ind w:left="0"/>
        <w:rPr>
          <w:rFonts w:cs="Arial"/>
          <w:b/>
          <w:bCs/>
        </w:rPr>
      </w:pPr>
      <w:r w:rsidRPr="007C02EF">
        <w:rPr>
          <w:rFonts w:cs="Arial"/>
          <w:b/>
          <w:bCs/>
        </w:rPr>
        <w:t>Purpose:</w:t>
      </w:r>
    </w:p>
    <w:p w14:paraId="0FAD5FFE" w14:textId="7250388F" w:rsidR="00C1515C" w:rsidRPr="007C02EF" w:rsidRDefault="007C02EF" w:rsidP="007C02EF">
      <w:pPr>
        <w:ind w:left="0"/>
        <w:rPr>
          <w:rFonts w:cs="Arial"/>
        </w:rPr>
      </w:pPr>
      <w:r w:rsidRPr="007C02EF">
        <w:rPr>
          <w:rFonts w:cs="Arial"/>
        </w:rPr>
        <w:t xml:space="preserve">This policy establishes standards for Del Puerto Health Care District (“District”) Employees &amp; Board Members who incur expenses during business activities on behalf of or at the request of District. </w:t>
      </w:r>
      <w:r w:rsidR="00C1515C" w:rsidRPr="007C02EF">
        <w:rPr>
          <w:rFonts w:cs="Arial"/>
        </w:rPr>
        <w:t>The purpose of this policy is to provide uniform standards for those employees who incur, authorize</w:t>
      </w:r>
      <w:r w:rsidRPr="007C02EF">
        <w:rPr>
          <w:rFonts w:cs="Arial"/>
        </w:rPr>
        <w:t>,</w:t>
      </w:r>
      <w:r w:rsidR="00C1515C" w:rsidRPr="007C02EF">
        <w:rPr>
          <w:rFonts w:cs="Arial"/>
        </w:rPr>
        <w:t xml:space="preserve"> and approve business travel, out-of-pocket</w:t>
      </w:r>
      <w:r w:rsidRPr="007C02EF">
        <w:rPr>
          <w:rFonts w:cs="Arial"/>
        </w:rPr>
        <w:t>,</w:t>
      </w:r>
      <w:r w:rsidR="00C1515C" w:rsidRPr="007C02EF">
        <w:rPr>
          <w:rFonts w:cs="Arial"/>
        </w:rPr>
        <w:t xml:space="preserve"> and entertainment expenses. The policy also defines the documentation necessary to support reimbursement for business travel, out-of-pocket and entertainment expenses. </w:t>
      </w:r>
    </w:p>
    <w:p w14:paraId="09484FF8" w14:textId="77777777" w:rsidR="00C1515C" w:rsidRPr="007C02EF" w:rsidRDefault="00C1515C" w:rsidP="007C02EF">
      <w:pPr>
        <w:ind w:left="1440" w:hanging="1440"/>
        <w:rPr>
          <w:rFonts w:cs="Arial"/>
        </w:rPr>
      </w:pPr>
    </w:p>
    <w:p w14:paraId="2F7D68DB" w14:textId="77777777" w:rsidR="003C06FF" w:rsidRPr="007C02EF" w:rsidRDefault="003C06FF" w:rsidP="007C02EF">
      <w:pPr>
        <w:ind w:left="1440" w:hanging="1440"/>
        <w:rPr>
          <w:rFonts w:cs="Arial"/>
          <w:b/>
          <w:bCs/>
        </w:rPr>
      </w:pPr>
    </w:p>
    <w:p w14:paraId="36309584" w14:textId="386FAE45" w:rsidR="00C1515C" w:rsidRPr="007C02EF" w:rsidRDefault="00C1515C" w:rsidP="007C02EF">
      <w:pPr>
        <w:ind w:left="1440" w:hanging="1440"/>
        <w:rPr>
          <w:rFonts w:cs="Arial"/>
          <w:b/>
          <w:bCs/>
        </w:rPr>
      </w:pPr>
      <w:r w:rsidRPr="007C02EF">
        <w:rPr>
          <w:rFonts w:cs="Arial"/>
          <w:b/>
          <w:bCs/>
        </w:rPr>
        <w:t>Policy:</w:t>
      </w:r>
    </w:p>
    <w:p w14:paraId="33CE1035" w14:textId="564A1A5C" w:rsidR="00C1515C" w:rsidRPr="007C02EF" w:rsidRDefault="00C1515C" w:rsidP="007C02EF">
      <w:pPr>
        <w:ind w:left="1440" w:hanging="1440"/>
        <w:rPr>
          <w:rFonts w:cs="Arial"/>
          <w:u w:val="single"/>
        </w:rPr>
      </w:pPr>
      <w:r w:rsidRPr="007C02EF">
        <w:rPr>
          <w:rFonts w:cs="Arial"/>
          <w:u w:val="single"/>
        </w:rPr>
        <w:t xml:space="preserve">Business Travel Expenses </w:t>
      </w:r>
    </w:p>
    <w:p w14:paraId="035099F9" w14:textId="5E3CAFB1" w:rsidR="00C1515C" w:rsidRPr="007C02EF" w:rsidRDefault="00C1515C" w:rsidP="007C02EF">
      <w:pPr>
        <w:ind w:left="0"/>
        <w:rPr>
          <w:rFonts w:cs="Arial"/>
        </w:rPr>
      </w:pPr>
      <w:r w:rsidRPr="007C02EF">
        <w:rPr>
          <w:rFonts w:cs="Arial"/>
        </w:rPr>
        <w:t xml:space="preserve">Business travel expenses are reasonable and necessary expenses that an employee incurs while traveling away from home on District business or related activities approved by District. This Section applies to basic expenses associated with travel on District business. Section B contains separate requirements related to business entertainment expenses. </w:t>
      </w:r>
    </w:p>
    <w:p w14:paraId="38CC1541" w14:textId="77777777" w:rsidR="00647454" w:rsidRPr="007C02EF" w:rsidRDefault="00647454" w:rsidP="007C02EF">
      <w:pPr>
        <w:ind w:left="1440" w:hanging="1440"/>
        <w:rPr>
          <w:rFonts w:cs="Arial"/>
        </w:rPr>
      </w:pPr>
    </w:p>
    <w:p w14:paraId="462F9B55" w14:textId="417C06E8" w:rsidR="00C1515C" w:rsidRPr="007C02EF" w:rsidRDefault="00C1515C" w:rsidP="007C02EF">
      <w:pPr>
        <w:pStyle w:val="ListParagraph"/>
        <w:numPr>
          <w:ilvl w:val="0"/>
          <w:numId w:val="34"/>
        </w:numPr>
        <w:rPr>
          <w:rFonts w:cs="Arial"/>
        </w:rPr>
      </w:pPr>
      <w:r w:rsidRPr="007C02EF">
        <w:rPr>
          <w:rFonts w:cs="Arial"/>
        </w:rPr>
        <w:t>Hotel Accommodations - Employees should use hotels that balance the needs for convenience, safety, and lower cost. Employees may not stay at luxury hotels such as Ritz Carlton, Four Seasons or utilize similarly expensive lodging unless it is a designated conference hotel. Employees will not be reimbursed for bottled water, in-room movies</w:t>
      </w:r>
      <w:r w:rsidR="004F4E80" w:rsidRPr="007C02EF">
        <w:rPr>
          <w:rFonts w:cs="Arial"/>
        </w:rPr>
        <w:t>,</w:t>
      </w:r>
      <w:r w:rsidRPr="007C02EF">
        <w:rPr>
          <w:rFonts w:cs="Arial"/>
        </w:rPr>
        <w:t xml:space="preserve"> or mini-bar expenses. </w:t>
      </w:r>
    </w:p>
    <w:p w14:paraId="3CFE9A5B" w14:textId="77777777" w:rsidR="00647454" w:rsidRPr="007C02EF" w:rsidRDefault="00647454" w:rsidP="007C02EF">
      <w:pPr>
        <w:ind w:left="1440" w:hanging="1440"/>
        <w:rPr>
          <w:rFonts w:cs="Arial"/>
        </w:rPr>
      </w:pPr>
    </w:p>
    <w:p w14:paraId="2B66D65D" w14:textId="1701CAF9" w:rsidR="00C1515C" w:rsidRPr="007C02EF" w:rsidRDefault="00C1515C" w:rsidP="007C02EF">
      <w:pPr>
        <w:pStyle w:val="ListParagraph"/>
        <w:numPr>
          <w:ilvl w:val="0"/>
          <w:numId w:val="34"/>
        </w:numPr>
        <w:rPr>
          <w:rFonts w:cs="Arial"/>
        </w:rPr>
      </w:pPr>
      <w:r w:rsidRPr="007C02EF">
        <w:rPr>
          <w:rFonts w:cs="Arial"/>
        </w:rPr>
        <w:t xml:space="preserve">Airfare - Employees must travel coach/economy class at the most economical rate available to reasonably accommodate business schedules. Use of the long-term parking lots and/or off airport parking is encouraged to reduce overall travel costs. </w:t>
      </w:r>
    </w:p>
    <w:p w14:paraId="20DB413E" w14:textId="77777777" w:rsidR="00647454" w:rsidRPr="007C02EF" w:rsidRDefault="00647454" w:rsidP="007C02EF">
      <w:pPr>
        <w:ind w:left="1440" w:hanging="1440"/>
        <w:rPr>
          <w:rFonts w:cs="Arial"/>
        </w:rPr>
      </w:pPr>
    </w:p>
    <w:p w14:paraId="128F6F0F" w14:textId="5FB794D3" w:rsidR="00C1515C" w:rsidRPr="007C02EF" w:rsidRDefault="00C1515C" w:rsidP="007C02EF">
      <w:pPr>
        <w:pStyle w:val="ListParagraph"/>
        <w:numPr>
          <w:ilvl w:val="0"/>
          <w:numId w:val="34"/>
        </w:numPr>
        <w:rPr>
          <w:rFonts w:cs="Arial"/>
        </w:rPr>
      </w:pPr>
      <w:r w:rsidRPr="007C02EF">
        <w:rPr>
          <w:rFonts w:cs="Arial"/>
        </w:rPr>
        <w:t xml:space="preserve">Mileage/Ground Transportation - When it is more practical to use a personal automobile when traveling on business, reimbursement will be made at the currently established IRS rate per mile for the actual miles necessary to conduct the relevant business. Other ground transportation (e.g. taxi, bus, subway, rail, etc.) will be reimbursed if it relates to District business. Other costs associated with ground transportation such as parking and bridge tolls will be reimbursed. </w:t>
      </w:r>
    </w:p>
    <w:p w14:paraId="25DCCB8B" w14:textId="77777777" w:rsidR="00647454" w:rsidRPr="007C02EF" w:rsidRDefault="00647454" w:rsidP="007C02EF">
      <w:pPr>
        <w:ind w:left="1440" w:hanging="1440"/>
        <w:rPr>
          <w:rFonts w:cs="Arial"/>
        </w:rPr>
      </w:pPr>
    </w:p>
    <w:p w14:paraId="23A43B10" w14:textId="6204E2F6" w:rsidR="00C1515C" w:rsidRPr="007C02EF" w:rsidRDefault="00C1515C" w:rsidP="007C02EF">
      <w:pPr>
        <w:pStyle w:val="ListParagraph"/>
        <w:numPr>
          <w:ilvl w:val="0"/>
          <w:numId w:val="34"/>
        </w:numPr>
        <w:rPr>
          <w:rFonts w:cs="Arial"/>
        </w:rPr>
      </w:pPr>
      <w:r w:rsidRPr="007C02EF">
        <w:rPr>
          <w:rFonts w:cs="Arial"/>
        </w:rPr>
        <w:t xml:space="preserve">Rental Cars - Luxury and premium cars are not reimbursable. </w:t>
      </w:r>
    </w:p>
    <w:p w14:paraId="239B9980" w14:textId="77777777" w:rsidR="00647454" w:rsidRPr="007C02EF" w:rsidRDefault="00647454" w:rsidP="007C02EF">
      <w:pPr>
        <w:ind w:left="1440" w:hanging="1440"/>
        <w:rPr>
          <w:rFonts w:cs="Arial"/>
        </w:rPr>
      </w:pPr>
    </w:p>
    <w:p w14:paraId="6E7A9985" w14:textId="1A89FFDE" w:rsidR="00C1515C" w:rsidRPr="007C02EF" w:rsidRDefault="00C1515C" w:rsidP="007C02EF">
      <w:pPr>
        <w:pStyle w:val="ListParagraph"/>
        <w:numPr>
          <w:ilvl w:val="0"/>
          <w:numId w:val="34"/>
        </w:numPr>
        <w:rPr>
          <w:rFonts w:cs="Arial"/>
        </w:rPr>
      </w:pPr>
      <w:r w:rsidRPr="007C02EF">
        <w:rPr>
          <w:rFonts w:cs="Arial"/>
        </w:rPr>
        <w:t>Meals - District will reimburse reasonable meal expenses incurred by employees traveling out-of-town on District business</w:t>
      </w:r>
      <w:r w:rsidRPr="004A7313">
        <w:rPr>
          <w:rFonts w:cs="Arial"/>
        </w:rPr>
        <w:t xml:space="preserve">. Such meals </w:t>
      </w:r>
      <w:r w:rsidR="009F4004" w:rsidRPr="004A7313">
        <w:rPr>
          <w:rFonts w:cs="Arial"/>
        </w:rPr>
        <w:t>will be reimbursed at the currently established IRS rate per meal.</w:t>
      </w:r>
      <w:r w:rsidRPr="007C02EF">
        <w:rPr>
          <w:rFonts w:cs="Arial"/>
        </w:rPr>
        <w:t xml:space="preserve"> District will not reimburse meal expenses for an employee’s spouse. </w:t>
      </w:r>
    </w:p>
    <w:p w14:paraId="2E63F9F3" w14:textId="77777777" w:rsidR="00647454" w:rsidRPr="007C02EF" w:rsidRDefault="00647454" w:rsidP="007C02EF">
      <w:pPr>
        <w:ind w:left="1440" w:hanging="1440"/>
        <w:rPr>
          <w:rFonts w:cs="Arial"/>
        </w:rPr>
      </w:pPr>
    </w:p>
    <w:p w14:paraId="706072CF" w14:textId="149A6F84" w:rsidR="00C1515C" w:rsidRPr="007C02EF" w:rsidRDefault="00C1515C" w:rsidP="007C02EF">
      <w:pPr>
        <w:pStyle w:val="ListParagraph"/>
        <w:numPr>
          <w:ilvl w:val="0"/>
          <w:numId w:val="34"/>
        </w:numPr>
        <w:rPr>
          <w:rFonts w:cs="Arial"/>
        </w:rPr>
      </w:pPr>
      <w:r w:rsidRPr="007C02EF">
        <w:rPr>
          <w:rFonts w:cs="Arial"/>
        </w:rPr>
        <w:t>Telephone Calls/Faxes/Mail Service While Traveling - Necessary business</w:t>
      </w:r>
      <w:r w:rsidR="00E61E7F" w:rsidRPr="007C02EF">
        <w:rPr>
          <w:rFonts w:cs="Arial"/>
        </w:rPr>
        <w:t>-</w:t>
      </w:r>
      <w:r w:rsidRPr="007C02EF">
        <w:rPr>
          <w:rFonts w:cs="Arial"/>
        </w:rPr>
        <w:t xml:space="preserve">related telephone calls, faxes or mail service and business use of personal cell phone, home phone or faxes will be reimbursed with appropriate documentation. </w:t>
      </w:r>
    </w:p>
    <w:p w14:paraId="58FE08F2" w14:textId="77777777" w:rsidR="00815BAA" w:rsidRPr="007C02EF" w:rsidRDefault="00815BAA" w:rsidP="007C02EF">
      <w:pPr>
        <w:ind w:left="1440" w:hanging="1440"/>
        <w:rPr>
          <w:rFonts w:cs="Arial"/>
        </w:rPr>
      </w:pPr>
    </w:p>
    <w:p w14:paraId="3F2153D4" w14:textId="49A4F955" w:rsidR="00C1515C" w:rsidRPr="007C02EF" w:rsidRDefault="00C1515C" w:rsidP="007C02EF">
      <w:pPr>
        <w:pStyle w:val="ListParagraph"/>
        <w:numPr>
          <w:ilvl w:val="0"/>
          <w:numId w:val="34"/>
        </w:numPr>
        <w:rPr>
          <w:rFonts w:cs="Arial"/>
        </w:rPr>
      </w:pPr>
      <w:r w:rsidRPr="007C02EF">
        <w:rPr>
          <w:rFonts w:cs="Arial"/>
        </w:rPr>
        <w:t xml:space="preserve">Personal calls while traveling, such as reasonable calls to home, family members, baby sitters, etc., are allowable business expenses. </w:t>
      </w:r>
    </w:p>
    <w:p w14:paraId="4BE74227" w14:textId="77777777" w:rsidR="00647454" w:rsidRPr="007C02EF" w:rsidRDefault="00647454" w:rsidP="007C02EF">
      <w:pPr>
        <w:ind w:left="1440" w:hanging="1440"/>
        <w:rPr>
          <w:rFonts w:cs="Arial"/>
        </w:rPr>
      </w:pPr>
    </w:p>
    <w:p w14:paraId="7C99C3C1" w14:textId="0D42BFEF" w:rsidR="00C1515C" w:rsidRPr="007C02EF" w:rsidRDefault="00C1515C" w:rsidP="007C02EF">
      <w:pPr>
        <w:pStyle w:val="ListParagraph"/>
        <w:numPr>
          <w:ilvl w:val="0"/>
          <w:numId w:val="34"/>
        </w:numPr>
        <w:rPr>
          <w:rFonts w:cs="Arial"/>
        </w:rPr>
      </w:pPr>
      <w:r w:rsidRPr="007C02EF">
        <w:rPr>
          <w:rFonts w:cs="Arial"/>
        </w:rPr>
        <w:t xml:space="preserve">Spouse Travel - No reimbursement is allowed for travel expenses, (including, but not limited to, airfare, hotel, meals, transportation, tips, etc.) paid or incurred by an employee with respect to a spouse, dependent or other individual accompanying an employee on a business trip. </w:t>
      </w:r>
    </w:p>
    <w:p w14:paraId="48010C60" w14:textId="4547123F" w:rsidR="00647454" w:rsidRDefault="00647454" w:rsidP="007C02EF">
      <w:pPr>
        <w:ind w:left="1440" w:hanging="1440"/>
        <w:rPr>
          <w:rFonts w:cs="Arial"/>
        </w:rPr>
      </w:pPr>
    </w:p>
    <w:p w14:paraId="31F7B7DA" w14:textId="564841A4" w:rsidR="00C1515C" w:rsidRPr="007C02EF" w:rsidRDefault="00C1515C" w:rsidP="009C18C1">
      <w:pPr>
        <w:keepNext/>
        <w:ind w:left="1440" w:hanging="1440"/>
        <w:rPr>
          <w:rFonts w:cs="Arial"/>
          <w:u w:val="single"/>
        </w:rPr>
      </w:pPr>
      <w:r w:rsidRPr="007C02EF">
        <w:rPr>
          <w:rFonts w:cs="Arial"/>
          <w:u w:val="single"/>
        </w:rPr>
        <w:t xml:space="preserve">Business Entertainment Expenses (including meals and gifts) </w:t>
      </w:r>
    </w:p>
    <w:p w14:paraId="0755000A" w14:textId="612B83D7" w:rsidR="00C1515C" w:rsidRPr="007C02EF" w:rsidRDefault="00C1515C" w:rsidP="007C02EF">
      <w:pPr>
        <w:ind w:left="0"/>
        <w:rPr>
          <w:rFonts w:cs="Arial"/>
        </w:rPr>
      </w:pPr>
      <w:r w:rsidRPr="007C02EF">
        <w:rPr>
          <w:rFonts w:cs="Arial"/>
        </w:rPr>
        <w:t>Business entertainment expenses are those expenses incurred by the employee while (</w:t>
      </w:r>
      <w:proofErr w:type="spellStart"/>
      <w:r w:rsidRPr="007C02EF">
        <w:rPr>
          <w:rFonts w:cs="Arial"/>
        </w:rPr>
        <w:t>i</w:t>
      </w:r>
      <w:proofErr w:type="spellEnd"/>
      <w:r w:rsidRPr="007C02EF">
        <w:rPr>
          <w:rFonts w:cs="Arial"/>
        </w:rPr>
        <w:t xml:space="preserve">) conducting/discussing District business and (ii) meeting with other District employees (including subordinates) and/or other persons who directly (or through another entity) do business with or support the District. </w:t>
      </w:r>
    </w:p>
    <w:p w14:paraId="6FAAE84A" w14:textId="77777777" w:rsidR="00815BAA" w:rsidRPr="007C02EF" w:rsidRDefault="00815BAA" w:rsidP="007C02EF">
      <w:pPr>
        <w:ind w:left="1440" w:hanging="1440"/>
        <w:rPr>
          <w:rFonts w:cs="Arial"/>
        </w:rPr>
      </w:pPr>
    </w:p>
    <w:p w14:paraId="62EF2AF1" w14:textId="37A923C2" w:rsidR="00C1515C" w:rsidRPr="007C02EF" w:rsidRDefault="00C1515C" w:rsidP="007C02EF">
      <w:pPr>
        <w:pStyle w:val="ListParagraph"/>
        <w:numPr>
          <w:ilvl w:val="0"/>
          <w:numId w:val="35"/>
        </w:numPr>
        <w:rPr>
          <w:rFonts w:cs="Arial"/>
        </w:rPr>
      </w:pPr>
      <w:r w:rsidRPr="007C02EF">
        <w:rPr>
          <w:rFonts w:cs="Arial"/>
        </w:rPr>
        <w:t xml:space="preserve">Business Meals - Business entertainment and meal expenses must be reasonable and appropriate, taking into consideration the location of the meal/event, the participants, the nature of the event, and other relevant factors. </w:t>
      </w:r>
    </w:p>
    <w:p w14:paraId="0ABB80D5" w14:textId="77777777" w:rsidR="00647454" w:rsidRPr="007C02EF" w:rsidRDefault="00647454" w:rsidP="007C02EF">
      <w:pPr>
        <w:ind w:left="1440" w:hanging="1440"/>
        <w:rPr>
          <w:rFonts w:cs="Arial"/>
        </w:rPr>
      </w:pPr>
    </w:p>
    <w:p w14:paraId="0C4F38F2" w14:textId="28DEBE65" w:rsidR="00C1515C" w:rsidRPr="007C02EF" w:rsidRDefault="00C1515C" w:rsidP="007C02EF">
      <w:pPr>
        <w:pStyle w:val="ListParagraph"/>
        <w:numPr>
          <w:ilvl w:val="0"/>
          <w:numId w:val="35"/>
        </w:numPr>
        <w:rPr>
          <w:rFonts w:cs="Arial"/>
        </w:rPr>
      </w:pPr>
      <w:r w:rsidRPr="007C02EF">
        <w:rPr>
          <w:rFonts w:cs="Arial"/>
        </w:rPr>
        <w:t xml:space="preserve">District will only reimburse meal expenses involving District-only participants when a significant amount of the discussion/purpose of the meal is business related – whether the meeting takes place in a restaurant or the office. </w:t>
      </w:r>
    </w:p>
    <w:p w14:paraId="69C7BD34" w14:textId="77777777" w:rsidR="00647454" w:rsidRPr="007C02EF" w:rsidRDefault="00647454" w:rsidP="007C02EF">
      <w:pPr>
        <w:ind w:left="1440" w:hanging="1440"/>
        <w:rPr>
          <w:rFonts w:cs="Arial"/>
        </w:rPr>
      </w:pPr>
    </w:p>
    <w:p w14:paraId="564843C6" w14:textId="3056C42A" w:rsidR="00C1515C" w:rsidRPr="007C02EF" w:rsidRDefault="00C1515C" w:rsidP="007C02EF">
      <w:pPr>
        <w:pStyle w:val="ListParagraph"/>
        <w:numPr>
          <w:ilvl w:val="0"/>
          <w:numId w:val="35"/>
        </w:numPr>
        <w:rPr>
          <w:rFonts w:cs="Arial"/>
        </w:rPr>
      </w:pPr>
      <w:r w:rsidRPr="007C02EF">
        <w:rPr>
          <w:rFonts w:cs="Arial"/>
        </w:rPr>
        <w:t xml:space="preserve">Employees are reminded that they represent the District while on company business and that alcohol use, if any, must be responsible and in conjunction with a meal. </w:t>
      </w:r>
    </w:p>
    <w:p w14:paraId="36BF58A3" w14:textId="77777777" w:rsidR="00647454" w:rsidRPr="007C02EF" w:rsidRDefault="00647454" w:rsidP="007C02EF">
      <w:pPr>
        <w:ind w:left="1440" w:hanging="1440"/>
        <w:rPr>
          <w:rFonts w:cs="Arial"/>
        </w:rPr>
      </w:pPr>
    </w:p>
    <w:p w14:paraId="2D5CF50C" w14:textId="43A91E40" w:rsidR="00C1515C" w:rsidRPr="007C02EF" w:rsidRDefault="00C1515C" w:rsidP="007C02EF">
      <w:pPr>
        <w:pStyle w:val="ListParagraph"/>
        <w:numPr>
          <w:ilvl w:val="0"/>
          <w:numId w:val="35"/>
        </w:numPr>
        <w:rPr>
          <w:rFonts w:cs="Arial"/>
        </w:rPr>
      </w:pPr>
      <w:r w:rsidRPr="007C02EF">
        <w:rPr>
          <w:rFonts w:cs="Arial"/>
        </w:rPr>
        <w:t xml:space="preserve">Business Gifts - Modest business gifts to non-employees (including board members and sponsors) will be reimbursed with the approval of the District's CEO or Board President and appropriate documentation. </w:t>
      </w:r>
    </w:p>
    <w:p w14:paraId="4EE659F3" w14:textId="77777777" w:rsidR="00647454" w:rsidRPr="007C02EF" w:rsidRDefault="00647454" w:rsidP="007C02EF">
      <w:pPr>
        <w:ind w:left="1440" w:hanging="1440"/>
        <w:rPr>
          <w:rFonts w:cs="Arial"/>
        </w:rPr>
      </w:pPr>
    </w:p>
    <w:p w14:paraId="62319956" w14:textId="2D8ABE89" w:rsidR="00C1515C" w:rsidRPr="007C02EF" w:rsidRDefault="00C1515C" w:rsidP="007C02EF">
      <w:pPr>
        <w:pStyle w:val="ListParagraph"/>
        <w:numPr>
          <w:ilvl w:val="0"/>
          <w:numId w:val="35"/>
        </w:numPr>
        <w:rPr>
          <w:rFonts w:cs="Arial"/>
        </w:rPr>
      </w:pPr>
      <w:r w:rsidRPr="007C02EF">
        <w:rPr>
          <w:rFonts w:cs="Arial"/>
        </w:rPr>
        <w:t xml:space="preserve">Gifts to Employees - Generally, District will not reimburse an employee for gifts (including flowers) to subordinates, peers, or supervisors, including events such as a birthday, holiday (e.g., Christmas), wedding, special days (i.e., secretary day), birth of child or other life event. </w:t>
      </w:r>
    </w:p>
    <w:p w14:paraId="283CE2CC" w14:textId="77777777" w:rsidR="00647454" w:rsidRPr="007C02EF" w:rsidRDefault="00647454" w:rsidP="007C02EF">
      <w:pPr>
        <w:ind w:left="1440" w:hanging="1440"/>
        <w:rPr>
          <w:rFonts w:cs="Arial"/>
        </w:rPr>
      </w:pPr>
    </w:p>
    <w:p w14:paraId="23D45920" w14:textId="16470C86" w:rsidR="00C1515C" w:rsidRPr="007C02EF" w:rsidRDefault="00C1515C" w:rsidP="007C02EF">
      <w:pPr>
        <w:pStyle w:val="ListParagraph"/>
        <w:numPr>
          <w:ilvl w:val="0"/>
          <w:numId w:val="35"/>
        </w:numPr>
        <w:rPr>
          <w:rFonts w:cs="Arial"/>
        </w:rPr>
      </w:pPr>
      <w:r w:rsidRPr="007C02EF">
        <w:rPr>
          <w:rFonts w:cs="Arial"/>
        </w:rPr>
        <w:t xml:space="preserve">With the CEO's or Board President prior approval, an employee may expense a gift to a District employee or board member for exceptional performance, as a thank you for a special effort, as a going away gift, or as an acknowledgement for completing a degree or training program. In addition, an employee may expense flowers or another appropriate and reasonable gift sent to a subordinate, peer, supervisor, or board member in the event of the death of an employee or immediate family member, the hospitalization of the employee or employee family member or other family crisis. </w:t>
      </w:r>
    </w:p>
    <w:p w14:paraId="2FE0534C" w14:textId="1198E84E" w:rsidR="00647454" w:rsidRPr="007C02EF" w:rsidRDefault="00647454" w:rsidP="007C02EF">
      <w:pPr>
        <w:ind w:left="1440" w:hanging="1440"/>
        <w:rPr>
          <w:rFonts w:cs="Arial"/>
        </w:rPr>
      </w:pPr>
    </w:p>
    <w:p w14:paraId="3214B4BB" w14:textId="77777777" w:rsidR="003D29BD" w:rsidRPr="007C02EF" w:rsidRDefault="003D29BD" w:rsidP="007C02EF">
      <w:pPr>
        <w:ind w:left="1440" w:hanging="1440"/>
        <w:rPr>
          <w:rFonts w:cs="Arial"/>
        </w:rPr>
      </w:pPr>
      <w:bookmarkStart w:id="0" w:name="_GoBack"/>
      <w:bookmarkEnd w:id="0"/>
    </w:p>
    <w:p w14:paraId="246BF525" w14:textId="29DF01D4" w:rsidR="00C1515C" w:rsidRPr="007C02EF" w:rsidRDefault="003C06FF" w:rsidP="007C02EF">
      <w:pPr>
        <w:ind w:left="1440" w:hanging="1440"/>
        <w:rPr>
          <w:rFonts w:cs="Arial"/>
          <w:b/>
          <w:bCs/>
        </w:rPr>
      </w:pPr>
      <w:r w:rsidRPr="007C02EF">
        <w:rPr>
          <w:rFonts w:cs="Arial"/>
          <w:b/>
          <w:bCs/>
        </w:rPr>
        <w:t>Procedure</w:t>
      </w:r>
    </w:p>
    <w:p w14:paraId="5CA86215" w14:textId="473C12F4" w:rsidR="00C1515C" w:rsidRPr="007C02EF" w:rsidRDefault="00C1515C" w:rsidP="007C02EF">
      <w:pPr>
        <w:ind w:left="0"/>
        <w:rPr>
          <w:rFonts w:cs="Arial"/>
        </w:rPr>
      </w:pPr>
      <w:r w:rsidRPr="007C02EF">
        <w:rPr>
          <w:rFonts w:cs="Arial"/>
        </w:rPr>
        <w:t xml:space="preserve">Expense reports must be completed in accordance with the requirements of this policy. </w:t>
      </w:r>
    </w:p>
    <w:p w14:paraId="49E2DB5F" w14:textId="77777777" w:rsidR="00647454" w:rsidRPr="007C02EF" w:rsidRDefault="00647454" w:rsidP="007C02EF">
      <w:pPr>
        <w:ind w:left="1440" w:hanging="1440"/>
        <w:rPr>
          <w:rFonts w:cs="Arial"/>
        </w:rPr>
      </w:pPr>
    </w:p>
    <w:p w14:paraId="42C7B112" w14:textId="691E075D" w:rsidR="00C1515C" w:rsidRPr="007C02EF" w:rsidRDefault="00C1515C" w:rsidP="007C02EF">
      <w:pPr>
        <w:pStyle w:val="ListParagraph"/>
        <w:numPr>
          <w:ilvl w:val="0"/>
          <w:numId w:val="36"/>
        </w:numPr>
        <w:rPr>
          <w:rFonts w:cs="Arial"/>
        </w:rPr>
      </w:pPr>
      <w:r w:rsidRPr="007C02EF">
        <w:rPr>
          <w:rFonts w:cs="Arial"/>
        </w:rPr>
        <w:t xml:space="preserve">Expense Reporting Signature and Approvals - Expense reports must be signed by the employee and approved by the employee’s supervisor or the Board President. By signing the expense reports, employees and the individual approving reports are representing and confirming that the expense report complies with these standards. </w:t>
      </w:r>
    </w:p>
    <w:p w14:paraId="60329AA3" w14:textId="77777777" w:rsidR="00647454" w:rsidRPr="007C02EF" w:rsidRDefault="00647454" w:rsidP="007C02EF">
      <w:pPr>
        <w:ind w:left="1440" w:hanging="1440"/>
        <w:rPr>
          <w:rFonts w:cs="Arial"/>
        </w:rPr>
      </w:pPr>
    </w:p>
    <w:p w14:paraId="01E0D988" w14:textId="3385687F" w:rsidR="00C1515C" w:rsidRPr="007C02EF" w:rsidRDefault="00C1515C" w:rsidP="007C02EF">
      <w:pPr>
        <w:pStyle w:val="ListParagraph"/>
        <w:numPr>
          <w:ilvl w:val="0"/>
          <w:numId w:val="36"/>
        </w:numPr>
        <w:rPr>
          <w:rFonts w:cs="Arial"/>
        </w:rPr>
      </w:pPr>
      <w:r w:rsidRPr="007C02EF">
        <w:rPr>
          <w:rFonts w:cs="Arial"/>
        </w:rPr>
        <w:t xml:space="preserve">Forms to be Used - Employees must use the current District expense report form(s) for reimbursement of out-of-pocket expenses, the current District mileage and associated reimbursement form for reimbursement of mileage. </w:t>
      </w:r>
    </w:p>
    <w:p w14:paraId="4C53BFF1" w14:textId="77777777" w:rsidR="00647454" w:rsidRPr="007C02EF" w:rsidRDefault="00647454" w:rsidP="007C02EF">
      <w:pPr>
        <w:ind w:left="1440" w:hanging="1440"/>
        <w:rPr>
          <w:rFonts w:cs="Arial"/>
        </w:rPr>
      </w:pPr>
    </w:p>
    <w:p w14:paraId="2A05EFA7" w14:textId="32588935" w:rsidR="00C1515C" w:rsidRPr="007C02EF" w:rsidRDefault="00C1515C" w:rsidP="007C02EF">
      <w:pPr>
        <w:pStyle w:val="ListParagraph"/>
        <w:numPr>
          <w:ilvl w:val="0"/>
          <w:numId w:val="36"/>
        </w:numPr>
        <w:rPr>
          <w:rFonts w:cs="Arial"/>
        </w:rPr>
      </w:pPr>
      <w:r w:rsidRPr="007C02EF">
        <w:rPr>
          <w:rFonts w:cs="Arial"/>
        </w:rPr>
        <w:t xml:space="preserve">Attachments to Forms - When preparing expense reports, receipts should be attached. </w:t>
      </w:r>
    </w:p>
    <w:p w14:paraId="068F5AC2" w14:textId="77777777" w:rsidR="00647454" w:rsidRPr="007C02EF" w:rsidRDefault="00647454" w:rsidP="007C02EF">
      <w:pPr>
        <w:ind w:left="1440" w:hanging="1440"/>
        <w:rPr>
          <w:rFonts w:cs="Arial"/>
        </w:rPr>
      </w:pPr>
    </w:p>
    <w:p w14:paraId="3F41BBE5" w14:textId="77AC4A85" w:rsidR="00425DB8" w:rsidRPr="009C18C1" w:rsidRDefault="00C1515C" w:rsidP="009C18C1">
      <w:pPr>
        <w:pStyle w:val="ListParagraph"/>
        <w:numPr>
          <w:ilvl w:val="0"/>
          <w:numId w:val="36"/>
        </w:numPr>
        <w:rPr>
          <w:rFonts w:cs="Arial"/>
        </w:rPr>
      </w:pPr>
      <w:r w:rsidRPr="007C02EF">
        <w:rPr>
          <w:rFonts w:cs="Arial"/>
        </w:rPr>
        <w:t xml:space="preserve">Substantiation of Expenses - Generally, a receipt should be provided in support of out of pocket expense items. Exceptions to this general requirement include bridge tolls, highway tolls, modest bus or subway fares, and tips to baggage handlers in hotels, airports. A receipt should accompany all District credit card purchases. </w:t>
      </w:r>
    </w:p>
    <w:sectPr w:rsidR="00425DB8" w:rsidRPr="009C18C1" w:rsidSect="007C02EF">
      <w:headerReference w:type="default" r:id="rId7"/>
      <w:footerReference w:type="default" r:id="rId8"/>
      <w:endnotePr>
        <w:numFmt w:val="decimal"/>
      </w:endnotePr>
      <w:pgSz w:w="12240" w:h="15840" w:code="1"/>
      <w:pgMar w:top="1440" w:right="1152" w:bottom="1080" w:left="1800" w:header="1152"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AAA6D4" w14:textId="77777777" w:rsidR="000B69F4" w:rsidRDefault="000B69F4">
      <w:r>
        <w:separator/>
      </w:r>
    </w:p>
  </w:endnote>
  <w:endnote w:type="continuationSeparator" w:id="0">
    <w:p w14:paraId="5AC1970B" w14:textId="77777777" w:rsidR="000B69F4" w:rsidRDefault="000B6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D89BB" w14:textId="65A6A64F" w:rsidR="00AD77D3" w:rsidRPr="00AF5E1A" w:rsidRDefault="00C45D02" w:rsidP="00C45D02">
    <w:pPr>
      <w:pStyle w:val="Footer"/>
      <w:tabs>
        <w:tab w:val="clear" w:pos="4320"/>
        <w:tab w:val="clear" w:pos="8640"/>
        <w:tab w:val="right" w:pos="9270"/>
      </w:tabs>
      <w:ind w:left="0"/>
      <w:rPr>
        <w:rFonts w:asciiTheme="minorHAnsi" w:hAnsiTheme="minorHAnsi" w:cstheme="minorHAnsi"/>
        <w:color w:val="808080" w:themeColor="background1" w:themeShade="80"/>
        <w:sz w:val="18"/>
      </w:rPr>
    </w:pPr>
    <w:r w:rsidRPr="00AF5E1A">
      <w:rPr>
        <w:rFonts w:asciiTheme="minorHAnsi" w:hAnsiTheme="minorHAnsi" w:cstheme="minorHAnsi"/>
        <w:color w:val="808080" w:themeColor="background1" w:themeShade="80"/>
        <w:sz w:val="18"/>
      </w:rPr>
      <w:fldChar w:fldCharType="begin"/>
    </w:r>
    <w:r w:rsidRPr="00AF5E1A">
      <w:rPr>
        <w:rFonts w:asciiTheme="minorHAnsi" w:hAnsiTheme="minorHAnsi" w:cstheme="minorHAnsi"/>
        <w:color w:val="808080" w:themeColor="background1" w:themeShade="80"/>
        <w:sz w:val="18"/>
      </w:rPr>
      <w:instrText xml:space="preserve"> FILENAME  \* Lower \p  \* MERGEFORMAT </w:instrText>
    </w:r>
    <w:r w:rsidRPr="00AF5E1A">
      <w:rPr>
        <w:rFonts w:asciiTheme="minorHAnsi" w:hAnsiTheme="minorHAnsi" w:cstheme="minorHAnsi"/>
        <w:color w:val="808080" w:themeColor="background1" w:themeShade="80"/>
        <w:sz w:val="18"/>
      </w:rPr>
      <w:fldChar w:fldCharType="separate"/>
    </w:r>
    <w:r w:rsidR="006D5220">
      <w:rPr>
        <w:rFonts w:asciiTheme="minorHAnsi" w:hAnsiTheme="minorHAnsi" w:cstheme="minorHAnsi"/>
        <w:caps w:val="0"/>
        <w:noProof/>
        <w:color w:val="808080" w:themeColor="background1" w:themeShade="80"/>
        <w:sz w:val="18"/>
      </w:rPr>
      <w:t>o:\policies\section 2000 administration\section 2100 financial management\2180 travel business exp reimb policy adopted 2019-09-30.docx</w:t>
    </w:r>
    <w:r w:rsidRPr="00AF5E1A">
      <w:rPr>
        <w:rFonts w:asciiTheme="minorHAnsi" w:hAnsiTheme="minorHAnsi" w:cstheme="minorHAnsi"/>
        <w:color w:val="808080" w:themeColor="background1" w:themeShade="80"/>
        <w:sz w:val="18"/>
      </w:rPr>
      <w:fldChar w:fldCharType="end"/>
    </w:r>
    <w:r w:rsidR="00AF5E1A" w:rsidRPr="00AF5E1A">
      <w:rPr>
        <w:rFonts w:asciiTheme="minorHAnsi" w:hAnsiTheme="minorHAnsi" w:cstheme="minorHAnsi"/>
        <w:caps w:val="0"/>
        <w:color w:val="808080" w:themeColor="background1" w:themeShade="80"/>
        <w:sz w:val="18"/>
      </w:rPr>
      <w:tab/>
    </w:r>
    <w:r w:rsidR="00AF5E1A">
      <w:rPr>
        <w:rFonts w:asciiTheme="minorHAnsi" w:hAnsiTheme="minorHAnsi" w:cstheme="minorHAnsi"/>
        <w:caps w:val="0"/>
        <w:color w:val="808080" w:themeColor="background1" w:themeShade="80"/>
        <w:sz w:val="18"/>
      </w:rPr>
      <w:t xml:space="preserve">page </w:t>
    </w:r>
    <w:r w:rsidR="00AF5E1A">
      <w:rPr>
        <w:rFonts w:asciiTheme="minorHAnsi" w:hAnsiTheme="minorHAnsi" w:cstheme="minorHAnsi"/>
        <w:caps w:val="0"/>
        <w:color w:val="808080" w:themeColor="background1" w:themeShade="80"/>
        <w:sz w:val="18"/>
      </w:rPr>
      <w:fldChar w:fldCharType="begin"/>
    </w:r>
    <w:r w:rsidR="00AF5E1A">
      <w:rPr>
        <w:rFonts w:asciiTheme="minorHAnsi" w:hAnsiTheme="minorHAnsi" w:cstheme="minorHAnsi"/>
        <w:caps w:val="0"/>
        <w:color w:val="808080" w:themeColor="background1" w:themeShade="80"/>
        <w:sz w:val="18"/>
      </w:rPr>
      <w:instrText xml:space="preserve"> PAGE  \* Arabic  \* MERGEFORMAT </w:instrText>
    </w:r>
    <w:r w:rsidR="00AF5E1A">
      <w:rPr>
        <w:rFonts w:asciiTheme="minorHAnsi" w:hAnsiTheme="minorHAnsi" w:cstheme="minorHAnsi"/>
        <w:caps w:val="0"/>
        <w:color w:val="808080" w:themeColor="background1" w:themeShade="80"/>
        <w:sz w:val="18"/>
      </w:rPr>
      <w:fldChar w:fldCharType="separate"/>
    </w:r>
    <w:r w:rsidR="00AF5E1A">
      <w:rPr>
        <w:rFonts w:asciiTheme="minorHAnsi" w:hAnsiTheme="minorHAnsi" w:cstheme="minorHAnsi"/>
        <w:caps w:val="0"/>
        <w:noProof/>
        <w:color w:val="808080" w:themeColor="background1" w:themeShade="80"/>
        <w:sz w:val="18"/>
      </w:rPr>
      <w:t>1</w:t>
    </w:r>
    <w:r w:rsidR="00AF5E1A">
      <w:rPr>
        <w:rFonts w:asciiTheme="minorHAnsi" w:hAnsiTheme="minorHAnsi" w:cstheme="minorHAnsi"/>
        <w:caps w:val="0"/>
        <w:color w:val="808080" w:themeColor="background1" w:themeShade="80"/>
        <w:sz w:val="18"/>
      </w:rPr>
      <w:fldChar w:fldCharType="end"/>
    </w:r>
    <w:r w:rsidR="00AF5E1A">
      <w:rPr>
        <w:rFonts w:asciiTheme="minorHAnsi" w:hAnsiTheme="minorHAnsi" w:cstheme="minorHAnsi"/>
        <w:caps w:val="0"/>
        <w:color w:val="808080" w:themeColor="background1" w:themeShade="80"/>
        <w:sz w:val="18"/>
      </w:rPr>
      <w:t xml:space="preserve"> /</w:t>
    </w:r>
    <w:r w:rsidR="00AF5E1A">
      <w:rPr>
        <w:rFonts w:asciiTheme="minorHAnsi" w:hAnsiTheme="minorHAnsi" w:cstheme="minorHAnsi"/>
        <w:caps w:val="0"/>
        <w:color w:val="808080" w:themeColor="background1" w:themeShade="80"/>
        <w:sz w:val="18"/>
      </w:rPr>
      <w:fldChar w:fldCharType="begin"/>
    </w:r>
    <w:r w:rsidR="00AF5E1A">
      <w:rPr>
        <w:rFonts w:asciiTheme="minorHAnsi" w:hAnsiTheme="minorHAnsi" w:cstheme="minorHAnsi"/>
        <w:caps w:val="0"/>
        <w:color w:val="808080" w:themeColor="background1" w:themeShade="80"/>
        <w:sz w:val="18"/>
      </w:rPr>
      <w:instrText xml:space="preserve"> NUMPAGES  \* Arabic  \* MERGEFORMAT </w:instrText>
    </w:r>
    <w:r w:rsidR="00AF5E1A">
      <w:rPr>
        <w:rFonts w:asciiTheme="minorHAnsi" w:hAnsiTheme="minorHAnsi" w:cstheme="minorHAnsi"/>
        <w:caps w:val="0"/>
        <w:color w:val="808080" w:themeColor="background1" w:themeShade="80"/>
        <w:sz w:val="18"/>
      </w:rPr>
      <w:fldChar w:fldCharType="separate"/>
    </w:r>
    <w:r w:rsidR="00AF5E1A">
      <w:rPr>
        <w:rFonts w:asciiTheme="minorHAnsi" w:hAnsiTheme="minorHAnsi" w:cstheme="minorHAnsi"/>
        <w:caps w:val="0"/>
        <w:noProof/>
        <w:color w:val="808080" w:themeColor="background1" w:themeShade="80"/>
        <w:sz w:val="18"/>
      </w:rPr>
      <w:t>1</w:t>
    </w:r>
    <w:r w:rsidR="00AF5E1A">
      <w:rPr>
        <w:rFonts w:asciiTheme="minorHAnsi" w:hAnsiTheme="minorHAnsi" w:cstheme="minorHAnsi"/>
        <w:caps w:val="0"/>
        <w:color w:val="808080" w:themeColor="background1" w:themeShade="8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D21BFA" w14:textId="77777777" w:rsidR="000B69F4" w:rsidRDefault="000B69F4">
      <w:r>
        <w:separator/>
      </w:r>
    </w:p>
  </w:footnote>
  <w:footnote w:type="continuationSeparator" w:id="0">
    <w:p w14:paraId="2E21A650" w14:textId="77777777" w:rsidR="000B69F4" w:rsidRDefault="000B69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8A10A" w14:textId="25A28523" w:rsidR="00C45D02" w:rsidRDefault="00C45D02" w:rsidP="00C45D02">
    <w:pPr>
      <w:pStyle w:val="Header"/>
      <w:tabs>
        <w:tab w:val="clear" w:pos="4320"/>
        <w:tab w:val="clear" w:pos="8640"/>
        <w:tab w:val="left" w:pos="6480"/>
        <w:tab w:val="right" w:pos="9360"/>
      </w:tabs>
      <w:ind w:left="0"/>
      <w:rPr>
        <w:rFonts w:asciiTheme="minorHAnsi" w:hAnsiTheme="minorHAnsi" w:cstheme="minorHAnsi"/>
        <w:sz w:val="22"/>
        <w:szCs w:val="22"/>
      </w:rPr>
    </w:pPr>
    <w:r>
      <w:rPr>
        <w:rFonts w:asciiTheme="minorHAnsi" w:hAnsiTheme="minorHAnsi" w:cstheme="minorHAnsi"/>
        <w:sz w:val="22"/>
        <w:szCs w:val="22"/>
      </w:rPr>
      <w:t>del puerto health care district</w:t>
    </w:r>
    <w:r>
      <w:rPr>
        <w:rFonts w:asciiTheme="minorHAnsi" w:hAnsiTheme="minorHAnsi" w:cstheme="minorHAnsi"/>
        <w:sz w:val="22"/>
        <w:szCs w:val="22"/>
      </w:rPr>
      <w:tab/>
      <w:t>Section:</w:t>
    </w:r>
    <w:r>
      <w:rPr>
        <w:rFonts w:asciiTheme="minorHAnsi" w:hAnsiTheme="minorHAnsi" w:cstheme="minorHAnsi"/>
        <w:sz w:val="22"/>
        <w:szCs w:val="22"/>
      </w:rPr>
      <w:tab/>
    </w:r>
    <w:r w:rsidR="009F6B69">
      <w:rPr>
        <w:rFonts w:asciiTheme="minorHAnsi" w:hAnsiTheme="minorHAnsi" w:cstheme="minorHAnsi"/>
        <w:sz w:val="22"/>
        <w:szCs w:val="22"/>
      </w:rPr>
      <w:t>finance</w:t>
    </w:r>
  </w:p>
  <w:p w14:paraId="4C16BD85" w14:textId="39F4C7C1" w:rsidR="00C45D02" w:rsidRDefault="00C45D02" w:rsidP="00C45D02">
    <w:pPr>
      <w:pStyle w:val="Header"/>
      <w:tabs>
        <w:tab w:val="clear" w:pos="4320"/>
        <w:tab w:val="clear" w:pos="8640"/>
        <w:tab w:val="left" w:pos="6480"/>
        <w:tab w:val="right" w:pos="9360"/>
      </w:tabs>
      <w:ind w:left="0"/>
      <w:rPr>
        <w:rFonts w:asciiTheme="minorHAnsi" w:hAnsiTheme="minorHAnsi" w:cstheme="minorHAnsi"/>
        <w:sz w:val="22"/>
        <w:szCs w:val="22"/>
      </w:rPr>
    </w:pPr>
    <w:r>
      <w:rPr>
        <w:rFonts w:asciiTheme="minorHAnsi" w:hAnsiTheme="minorHAnsi" w:cstheme="minorHAnsi"/>
        <w:sz w:val="22"/>
        <w:szCs w:val="22"/>
      </w:rPr>
      <w:t>Policy and Procedure</w:t>
    </w:r>
    <w:r>
      <w:rPr>
        <w:rFonts w:asciiTheme="minorHAnsi" w:hAnsiTheme="minorHAnsi" w:cstheme="minorHAnsi"/>
        <w:sz w:val="22"/>
        <w:szCs w:val="22"/>
      </w:rPr>
      <w:tab/>
      <w:t>Policy Number:</w:t>
    </w:r>
    <w:r>
      <w:rPr>
        <w:rFonts w:asciiTheme="minorHAnsi" w:hAnsiTheme="minorHAnsi" w:cstheme="minorHAnsi"/>
        <w:sz w:val="22"/>
        <w:szCs w:val="22"/>
      </w:rPr>
      <w:tab/>
    </w:r>
    <w:r w:rsidR="007C02EF">
      <w:rPr>
        <w:rFonts w:asciiTheme="minorHAnsi" w:hAnsiTheme="minorHAnsi" w:cstheme="minorHAnsi"/>
        <w:sz w:val="22"/>
        <w:szCs w:val="22"/>
      </w:rPr>
      <w:t>2180</w:t>
    </w:r>
  </w:p>
  <w:p w14:paraId="1F717CB2" w14:textId="77777777" w:rsidR="00C45D02" w:rsidRDefault="00C45D02" w:rsidP="00C45D02">
    <w:pPr>
      <w:pStyle w:val="Header"/>
      <w:tabs>
        <w:tab w:val="left" w:pos="1440"/>
      </w:tabs>
      <w:ind w:left="0"/>
      <w:rPr>
        <w:rFonts w:asciiTheme="minorHAnsi" w:hAnsiTheme="minorHAnsi" w:cstheme="minorHAnsi"/>
        <w:sz w:val="22"/>
        <w:szCs w:val="22"/>
      </w:rPr>
    </w:pPr>
    <w:r>
      <w:rPr>
        <w:rFonts w:asciiTheme="minorHAnsi" w:hAnsiTheme="minorHAnsi" w:cstheme="minorHAnsi"/>
        <w:sz w:val="22"/>
        <w:szCs w:val="22"/>
      </w:rPr>
      <w:tab/>
    </w:r>
  </w:p>
  <w:tbl>
    <w:tblPr>
      <w:tblStyle w:val="TableGrid"/>
      <w:tblW w:w="0" w:type="auto"/>
      <w:tblInd w:w="0" w:type="dxa"/>
      <w:tblLook w:val="04A0" w:firstRow="1" w:lastRow="0" w:firstColumn="1" w:lastColumn="0" w:noHBand="0" w:noVBand="1"/>
    </w:tblPr>
    <w:tblGrid>
      <w:gridCol w:w="7234"/>
      <w:gridCol w:w="2044"/>
    </w:tblGrid>
    <w:tr w:rsidR="00C45D02" w14:paraId="33ABF09C" w14:textId="77777777" w:rsidTr="00C45D02">
      <w:trPr>
        <w:trHeight w:val="242"/>
      </w:trPr>
      <w:tc>
        <w:tcPr>
          <w:tcW w:w="7488" w:type="dxa"/>
          <w:vMerge w:val="restart"/>
          <w:tcBorders>
            <w:top w:val="single" w:sz="4" w:space="0" w:color="auto"/>
            <w:left w:val="single" w:sz="4" w:space="0" w:color="auto"/>
            <w:bottom w:val="single" w:sz="4" w:space="0" w:color="auto"/>
            <w:right w:val="single" w:sz="4" w:space="0" w:color="auto"/>
          </w:tcBorders>
          <w:vAlign w:val="center"/>
          <w:hideMark/>
        </w:tcPr>
        <w:p w14:paraId="5FC98949" w14:textId="25DAF18E" w:rsidR="00C45D02" w:rsidRDefault="009F6B69" w:rsidP="00C45D02">
          <w:pPr>
            <w:pStyle w:val="Header"/>
            <w:tabs>
              <w:tab w:val="clear" w:pos="4320"/>
              <w:tab w:val="clear" w:pos="8640"/>
              <w:tab w:val="left" w:pos="5760"/>
              <w:tab w:val="left" w:pos="7920"/>
              <w:tab w:val="right" w:pos="9360"/>
            </w:tabs>
            <w:ind w:left="0"/>
            <w:rPr>
              <w:rFonts w:asciiTheme="minorHAnsi" w:hAnsiTheme="minorHAnsi" w:cstheme="minorHAnsi"/>
              <w:sz w:val="22"/>
              <w:szCs w:val="22"/>
            </w:rPr>
          </w:pPr>
          <w:r>
            <w:rPr>
              <w:rFonts w:asciiTheme="minorHAnsi" w:hAnsiTheme="minorHAnsi" w:cstheme="minorHAnsi"/>
              <w:sz w:val="22"/>
              <w:szCs w:val="22"/>
            </w:rPr>
            <w:t>Expense reimbursement</w:t>
          </w:r>
          <w:r w:rsidR="009F4004">
            <w:rPr>
              <w:rFonts w:asciiTheme="minorHAnsi" w:hAnsiTheme="minorHAnsi" w:cstheme="minorHAnsi"/>
              <w:sz w:val="22"/>
              <w:szCs w:val="22"/>
            </w:rPr>
            <w:t>: Travel/Business</w:t>
          </w:r>
          <w:r>
            <w:rPr>
              <w:rFonts w:asciiTheme="minorHAnsi" w:hAnsiTheme="minorHAnsi" w:cstheme="minorHAnsi"/>
              <w:sz w:val="22"/>
              <w:szCs w:val="22"/>
            </w:rPr>
            <w:t xml:space="preserve"> </w:t>
          </w:r>
        </w:p>
      </w:tc>
      <w:tc>
        <w:tcPr>
          <w:tcW w:w="2088" w:type="dxa"/>
          <w:tcBorders>
            <w:top w:val="single" w:sz="4" w:space="0" w:color="auto"/>
            <w:left w:val="single" w:sz="4" w:space="0" w:color="auto"/>
            <w:bottom w:val="single" w:sz="4" w:space="0" w:color="auto"/>
            <w:right w:val="single" w:sz="4" w:space="0" w:color="auto"/>
          </w:tcBorders>
          <w:vAlign w:val="center"/>
          <w:hideMark/>
        </w:tcPr>
        <w:p w14:paraId="51A4A071" w14:textId="77777777" w:rsidR="00C45D02" w:rsidRDefault="00C45D02" w:rsidP="00C45D02">
          <w:pPr>
            <w:pStyle w:val="Header"/>
            <w:tabs>
              <w:tab w:val="clear" w:pos="4320"/>
              <w:tab w:val="clear" w:pos="8640"/>
              <w:tab w:val="left" w:pos="5760"/>
              <w:tab w:val="left" w:pos="7920"/>
              <w:tab w:val="right" w:pos="9360"/>
            </w:tabs>
            <w:ind w:left="0"/>
            <w:rPr>
              <w:rFonts w:asciiTheme="minorHAnsi" w:hAnsiTheme="minorHAnsi" w:cstheme="minorHAnsi"/>
              <w:sz w:val="22"/>
              <w:szCs w:val="22"/>
            </w:rPr>
          </w:pPr>
          <w:r>
            <w:rPr>
              <w:rFonts w:asciiTheme="minorHAnsi" w:hAnsiTheme="minorHAnsi" w:cstheme="minorHAnsi"/>
              <w:sz w:val="22"/>
              <w:szCs w:val="22"/>
            </w:rPr>
            <w:t>EFFECTIVE DATE</w:t>
          </w:r>
        </w:p>
      </w:tc>
    </w:tr>
    <w:tr w:rsidR="00C45D02" w14:paraId="1E1B2CF1" w14:textId="77777777" w:rsidTr="00C45D02">
      <w:trPr>
        <w:trHeight w:val="4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3A572D" w14:textId="77777777" w:rsidR="00C45D02" w:rsidRDefault="00C45D02" w:rsidP="00C45D02">
          <w:pPr>
            <w:ind w:left="0"/>
            <w:rPr>
              <w:rFonts w:asciiTheme="minorHAnsi" w:hAnsiTheme="minorHAnsi" w:cstheme="minorHAnsi"/>
              <w:caps/>
              <w:sz w:val="22"/>
              <w:szCs w:val="22"/>
            </w:rPr>
          </w:pPr>
        </w:p>
      </w:tc>
      <w:tc>
        <w:tcPr>
          <w:tcW w:w="2088" w:type="dxa"/>
          <w:tcBorders>
            <w:top w:val="single" w:sz="4" w:space="0" w:color="auto"/>
            <w:left w:val="single" w:sz="4" w:space="0" w:color="auto"/>
            <w:bottom w:val="single" w:sz="4" w:space="0" w:color="auto"/>
            <w:right w:val="single" w:sz="4" w:space="0" w:color="auto"/>
          </w:tcBorders>
          <w:vAlign w:val="center"/>
          <w:hideMark/>
        </w:tcPr>
        <w:p w14:paraId="672F56A0" w14:textId="3424FB37" w:rsidR="00C45D02" w:rsidRDefault="004A7313" w:rsidP="00C45D02">
          <w:pPr>
            <w:pStyle w:val="Header"/>
            <w:tabs>
              <w:tab w:val="clear" w:pos="4320"/>
              <w:tab w:val="clear" w:pos="8640"/>
              <w:tab w:val="left" w:pos="5760"/>
              <w:tab w:val="left" w:pos="7920"/>
              <w:tab w:val="right" w:pos="9360"/>
            </w:tabs>
            <w:ind w:left="0"/>
            <w:rPr>
              <w:rFonts w:asciiTheme="minorHAnsi" w:hAnsiTheme="minorHAnsi" w:cstheme="minorHAnsi"/>
              <w:sz w:val="22"/>
              <w:szCs w:val="22"/>
            </w:rPr>
          </w:pPr>
          <w:r>
            <w:rPr>
              <w:rFonts w:asciiTheme="minorHAnsi" w:hAnsiTheme="minorHAnsi" w:cstheme="minorHAnsi"/>
              <w:sz w:val="22"/>
              <w:szCs w:val="22"/>
            </w:rPr>
            <w:t>OCT 01, 2019</w:t>
          </w:r>
        </w:p>
      </w:tc>
    </w:tr>
  </w:tbl>
  <w:p w14:paraId="1397D3D9" w14:textId="77777777" w:rsidR="00C45D02" w:rsidRDefault="00C45D02" w:rsidP="00C45D02">
    <w:pPr>
      <w:pStyle w:val="Header"/>
      <w:tabs>
        <w:tab w:val="clear" w:pos="4320"/>
        <w:tab w:val="clear" w:pos="8640"/>
        <w:tab w:val="left" w:pos="7920"/>
        <w:tab w:val="right" w:pos="9360"/>
      </w:tabs>
      <w:ind w:left="0"/>
      <w:rPr>
        <w:rFonts w:asciiTheme="minorHAnsi" w:hAnsiTheme="minorHAnsi" w:cstheme="minorHAnsi"/>
      </w:rPr>
    </w:pPr>
  </w:p>
  <w:p w14:paraId="3A5510C8" w14:textId="77777777" w:rsidR="00C45D02" w:rsidRDefault="00C45D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5A4A7E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15259E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FDA2D9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7880C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7DA1D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73A06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892E59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238030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9D4F3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52057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A698C5B2"/>
    <w:lvl w:ilvl="0">
      <w:numFmt w:val="decimal"/>
      <w:pStyle w:val="Caption"/>
      <w:lvlText w:val="*"/>
      <w:lvlJc w:val="left"/>
    </w:lvl>
  </w:abstractNum>
  <w:abstractNum w:abstractNumId="11" w15:restartNumberingAfterBreak="0">
    <w:nsid w:val="08303FCD"/>
    <w:multiLevelType w:val="hybridMultilevel"/>
    <w:tmpl w:val="BA10AC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20045C6"/>
    <w:multiLevelType w:val="singleLevel"/>
    <w:tmpl w:val="09B0E8F8"/>
    <w:lvl w:ilvl="0">
      <w:start w:val="1"/>
      <w:numFmt w:val="decimal"/>
      <w:lvlText w:val="%1)"/>
      <w:legacy w:legacy="1" w:legacySpace="0" w:legacyIndent="360"/>
      <w:lvlJc w:val="left"/>
      <w:pPr>
        <w:ind w:left="1440" w:hanging="360"/>
      </w:pPr>
      <w:rPr>
        <w:rFonts w:ascii="Symbol" w:hAnsi="Symbol" w:hint="default"/>
        <w:b w:val="0"/>
        <w:i w:val="0"/>
        <w:sz w:val="18"/>
      </w:rPr>
    </w:lvl>
  </w:abstractNum>
  <w:abstractNum w:abstractNumId="13" w15:restartNumberingAfterBreak="0">
    <w:nsid w:val="19754DDC"/>
    <w:multiLevelType w:val="singleLevel"/>
    <w:tmpl w:val="6DCCA5CE"/>
    <w:lvl w:ilvl="0">
      <w:start w:val="1"/>
      <w:numFmt w:val="none"/>
      <w:lvlText w:val=""/>
      <w:legacy w:legacy="1" w:legacySpace="0" w:legacyIndent="0"/>
      <w:lvlJc w:val="left"/>
    </w:lvl>
  </w:abstractNum>
  <w:abstractNum w:abstractNumId="14" w15:restartNumberingAfterBreak="0">
    <w:nsid w:val="23D2640E"/>
    <w:multiLevelType w:val="hybridMultilevel"/>
    <w:tmpl w:val="5C9676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3030A1"/>
    <w:multiLevelType w:val="singleLevel"/>
    <w:tmpl w:val="6DCCA5CE"/>
    <w:lvl w:ilvl="0">
      <w:start w:val="1"/>
      <w:numFmt w:val="none"/>
      <w:lvlText w:val=""/>
      <w:legacy w:legacy="1" w:legacySpace="0" w:legacyIndent="0"/>
      <w:lvlJc w:val="left"/>
    </w:lvl>
  </w:abstractNum>
  <w:abstractNum w:abstractNumId="16" w15:restartNumberingAfterBreak="0">
    <w:nsid w:val="2B8F39D1"/>
    <w:multiLevelType w:val="hybridMultilevel"/>
    <w:tmpl w:val="A4AE1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9E4A94"/>
    <w:multiLevelType w:val="singleLevel"/>
    <w:tmpl w:val="6DCCA5CE"/>
    <w:lvl w:ilvl="0">
      <w:start w:val="1"/>
      <w:numFmt w:val="none"/>
      <w:lvlText w:val=""/>
      <w:legacy w:legacy="1" w:legacySpace="0" w:legacyIndent="0"/>
      <w:lvlJc w:val="left"/>
    </w:lvl>
  </w:abstractNum>
  <w:abstractNum w:abstractNumId="18" w15:restartNumberingAfterBreak="0">
    <w:nsid w:val="300C664B"/>
    <w:multiLevelType w:val="hybridMultilevel"/>
    <w:tmpl w:val="16923DE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4540CA"/>
    <w:multiLevelType w:val="hybridMultilevel"/>
    <w:tmpl w:val="9CBA253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0152EAB"/>
    <w:multiLevelType w:val="singleLevel"/>
    <w:tmpl w:val="2034CD5C"/>
    <w:lvl w:ilvl="0">
      <w:numFmt w:val="decimal"/>
      <w:lvlText w:val="*"/>
      <w:lvlJc w:val="left"/>
    </w:lvl>
  </w:abstractNum>
  <w:abstractNum w:abstractNumId="21" w15:restartNumberingAfterBreak="0">
    <w:nsid w:val="46B310A4"/>
    <w:multiLevelType w:val="singleLevel"/>
    <w:tmpl w:val="6DCCA5CE"/>
    <w:lvl w:ilvl="0">
      <w:start w:val="1"/>
      <w:numFmt w:val="none"/>
      <w:lvlText w:val=""/>
      <w:legacy w:legacy="1" w:legacySpace="0" w:legacyIndent="0"/>
      <w:lvlJc w:val="left"/>
    </w:lvl>
  </w:abstractNum>
  <w:abstractNum w:abstractNumId="22" w15:restartNumberingAfterBreak="0">
    <w:nsid w:val="47583C2E"/>
    <w:multiLevelType w:val="singleLevel"/>
    <w:tmpl w:val="C2A61456"/>
    <w:lvl w:ilvl="0">
      <w:start w:val="1"/>
      <w:numFmt w:val="decimal"/>
      <w:lvlText w:val="%1)"/>
      <w:legacy w:legacy="1" w:legacySpace="0" w:legacyIndent="360"/>
      <w:lvlJc w:val="left"/>
      <w:pPr>
        <w:ind w:left="1440" w:hanging="360"/>
      </w:pPr>
      <w:rPr>
        <w:rFonts w:ascii="Arial Black" w:hAnsi="Arial Black" w:hint="default"/>
        <w:b w:val="0"/>
        <w:i w:val="0"/>
        <w:sz w:val="18"/>
      </w:rPr>
    </w:lvl>
  </w:abstractNum>
  <w:abstractNum w:abstractNumId="23" w15:restartNumberingAfterBreak="0">
    <w:nsid w:val="4B170563"/>
    <w:multiLevelType w:val="singleLevel"/>
    <w:tmpl w:val="4A84109C"/>
    <w:lvl w:ilvl="0">
      <w:start w:val="1"/>
      <w:numFmt w:val="bullet"/>
      <w:pStyle w:val="ListBullet"/>
      <w:lvlText w:val=""/>
      <w:lvlJc w:val="left"/>
      <w:pPr>
        <w:tabs>
          <w:tab w:val="num" w:pos="1440"/>
        </w:tabs>
        <w:ind w:left="1440" w:hanging="360"/>
      </w:pPr>
      <w:rPr>
        <w:rFonts w:ascii="Wingdings" w:hAnsi="Wingdings" w:hint="default"/>
        <w:sz w:val="16"/>
      </w:rPr>
    </w:lvl>
  </w:abstractNum>
  <w:abstractNum w:abstractNumId="24" w15:restartNumberingAfterBreak="0">
    <w:nsid w:val="4F762AEF"/>
    <w:multiLevelType w:val="hybridMultilevel"/>
    <w:tmpl w:val="79820D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2B813BD"/>
    <w:multiLevelType w:val="hybridMultilevel"/>
    <w:tmpl w:val="4778484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9913A9"/>
    <w:multiLevelType w:val="singleLevel"/>
    <w:tmpl w:val="25407178"/>
    <w:lvl w:ilvl="0">
      <w:start w:val="1"/>
      <w:numFmt w:val="decimal"/>
      <w:pStyle w:val="ListNumber"/>
      <w:lvlText w:val="%1)"/>
      <w:legacy w:legacy="1" w:legacySpace="0" w:legacyIndent="360"/>
      <w:lvlJc w:val="left"/>
      <w:pPr>
        <w:ind w:left="1440" w:hanging="360"/>
      </w:pPr>
      <w:rPr>
        <w:rFonts w:ascii="Arial Black" w:hAnsi="Arial Black" w:hint="default"/>
        <w:b w:val="0"/>
        <w:i w:val="0"/>
        <w:sz w:val="18"/>
      </w:rPr>
    </w:lvl>
  </w:abstractNum>
  <w:abstractNum w:abstractNumId="27" w15:restartNumberingAfterBreak="0">
    <w:nsid w:val="5CBE216E"/>
    <w:multiLevelType w:val="singleLevel"/>
    <w:tmpl w:val="6DCCA5CE"/>
    <w:lvl w:ilvl="0">
      <w:start w:val="1"/>
      <w:numFmt w:val="none"/>
      <w:lvlText w:val=""/>
      <w:legacy w:legacy="1" w:legacySpace="0" w:legacyIndent="0"/>
      <w:lvlJc w:val="left"/>
    </w:lvl>
  </w:abstractNum>
  <w:abstractNum w:abstractNumId="28" w15:restartNumberingAfterBreak="0">
    <w:nsid w:val="5F72597B"/>
    <w:multiLevelType w:val="multilevel"/>
    <w:tmpl w:val="60087C50"/>
    <w:lvl w:ilvl="0">
      <w:start w:val="1"/>
      <w:numFmt w:val="decimal"/>
      <w:suff w:val="nothing"/>
      <w:lvlText w:val="Policy %1 - "/>
      <w:lvlJc w:val="left"/>
      <w:pPr>
        <w:ind w:left="1440" w:hanging="720"/>
      </w:pPr>
      <w:rPr>
        <w:rFonts w:ascii="Times New Roman" w:hAnsi="Times New Roman" w:hint="default"/>
        <w:b/>
        <w:i w:val="0"/>
        <w:caps w:val="0"/>
        <w:strike w:val="0"/>
        <w:dstrike w:val="0"/>
        <w:vanish w:val="0"/>
        <w:color w:val="auto"/>
        <w:sz w:val="22"/>
        <w:vertAlign w:val="baseline"/>
      </w:rPr>
    </w:lvl>
    <w:lvl w:ilvl="1">
      <w:start w:val="1"/>
      <w:numFmt w:val="decimal"/>
      <w:lvlText w:val="%1.%2"/>
      <w:lvlJc w:val="left"/>
      <w:pPr>
        <w:tabs>
          <w:tab w:val="num" w:pos="1440"/>
        </w:tabs>
        <w:ind w:left="1440" w:hanging="720"/>
      </w:pPr>
      <w:rPr>
        <w:rFonts w:ascii="Times New Roman" w:hAnsi="Times New Roman" w:hint="default"/>
        <w:b w:val="0"/>
        <w:i w:val="0"/>
        <w:caps w:val="0"/>
        <w:strike w:val="0"/>
        <w:dstrike w:val="0"/>
        <w:vanish w:val="0"/>
        <w:color w:val="auto"/>
        <w:sz w:val="22"/>
        <w:vertAlign w:val="baseline"/>
      </w:rPr>
    </w:lvl>
    <w:lvl w:ilvl="2">
      <w:start w:val="1"/>
      <w:numFmt w:val="decimal"/>
      <w:lvlText w:val="%1.%2.%3"/>
      <w:lvlJc w:val="left"/>
      <w:pPr>
        <w:ind w:left="144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440" w:hanging="720"/>
      </w:pPr>
      <w:rPr>
        <w:rFonts w:hint="default"/>
      </w:rPr>
    </w:lvl>
    <w:lvl w:ilvl="6">
      <w:start w:val="1"/>
      <w:numFmt w:val="decimal"/>
      <w:lvlText w:val="%1.%2.%3.%4.%5.%6.%7"/>
      <w:lvlJc w:val="left"/>
      <w:pPr>
        <w:ind w:left="1440" w:hanging="720"/>
      </w:pPr>
      <w:rPr>
        <w:rFonts w:hint="default"/>
      </w:rPr>
    </w:lvl>
    <w:lvl w:ilvl="7">
      <w:start w:val="1"/>
      <w:numFmt w:val="decimal"/>
      <w:lvlText w:val="%1.%2.%3.%4.%5.%6.%7.%8"/>
      <w:lvlJc w:val="left"/>
      <w:pPr>
        <w:ind w:left="1440" w:hanging="720"/>
      </w:pPr>
      <w:rPr>
        <w:rFonts w:hint="default"/>
      </w:rPr>
    </w:lvl>
    <w:lvl w:ilvl="8">
      <w:start w:val="1"/>
      <w:numFmt w:val="decimal"/>
      <w:lvlText w:val="%1.%2.%3.%4.%5.%6.%7.%8.%9"/>
      <w:lvlJc w:val="left"/>
      <w:pPr>
        <w:ind w:left="1440" w:hanging="720"/>
      </w:pPr>
      <w:rPr>
        <w:rFonts w:hint="default"/>
      </w:rPr>
    </w:lvl>
  </w:abstractNum>
  <w:abstractNum w:abstractNumId="29" w15:restartNumberingAfterBreak="0">
    <w:nsid w:val="6E76003D"/>
    <w:multiLevelType w:val="singleLevel"/>
    <w:tmpl w:val="BDF4B83C"/>
    <w:lvl w:ilvl="0">
      <w:numFmt w:val="decimal"/>
      <w:lvlText w:val="*"/>
      <w:lvlJc w:val="left"/>
    </w:lvl>
  </w:abstractNum>
  <w:abstractNum w:abstractNumId="30" w15:restartNumberingAfterBreak="0">
    <w:nsid w:val="708310DA"/>
    <w:multiLevelType w:val="hybridMultilevel"/>
    <w:tmpl w:val="A992C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DF1358"/>
    <w:multiLevelType w:val="hybridMultilevel"/>
    <w:tmpl w:val="AC14155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7BF25134"/>
    <w:multiLevelType w:val="singleLevel"/>
    <w:tmpl w:val="6DCCA5CE"/>
    <w:lvl w:ilvl="0">
      <w:start w:val="1"/>
      <w:numFmt w:val="none"/>
      <w:lvlText w:val=""/>
      <w:legacy w:legacy="1" w:legacySpace="0" w:legacyIndent="0"/>
      <w:lvlJc w:val="left"/>
    </w:lvl>
  </w:abstractNum>
  <w:abstractNum w:abstractNumId="33" w15:restartNumberingAfterBreak="0">
    <w:nsid w:val="7FC209FA"/>
    <w:multiLevelType w:val="hybridMultilevel"/>
    <w:tmpl w:val="B9BCE4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lvlOverride w:ilvl="0">
      <w:lvl w:ilvl="0">
        <w:start w:val="1"/>
        <w:numFmt w:val="bullet"/>
        <w:pStyle w:val="Caption"/>
        <w:lvlText w:val=""/>
        <w:legacy w:legacy="1" w:legacySpace="0" w:legacyIndent="120"/>
        <w:lvlJc w:val="left"/>
        <w:pPr>
          <w:ind w:left="1920" w:hanging="120"/>
        </w:pPr>
        <w:rPr>
          <w:rFonts w:ascii="Symbol" w:hAnsi="Symbol" w:hint="default"/>
          <w:sz w:val="18"/>
        </w:rPr>
      </w:lvl>
    </w:lvlOverride>
  </w:num>
  <w:num w:numId="12">
    <w:abstractNumId w:val="23"/>
  </w:num>
  <w:num w:numId="13">
    <w:abstractNumId w:val="26"/>
  </w:num>
  <w:num w:numId="14">
    <w:abstractNumId w:val="10"/>
    <w:lvlOverride w:ilvl="0">
      <w:lvl w:ilvl="0">
        <w:start w:val="1"/>
        <w:numFmt w:val="bullet"/>
        <w:pStyle w:val="Caption"/>
        <w:lvlText w:val=""/>
        <w:legacy w:legacy="1" w:legacySpace="0" w:legacyIndent="360"/>
        <w:lvlJc w:val="left"/>
        <w:pPr>
          <w:ind w:left="1440" w:hanging="360"/>
        </w:pPr>
        <w:rPr>
          <w:rFonts w:ascii="Wingdings" w:hAnsi="Wingdings" w:hint="default"/>
          <w:sz w:val="16"/>
        </w:rPr>
      </w:lvl>
    </w:lvlOverride>
  </w:num>
  <w:num w:numId="15">
    <w:abstractNumId w:val="22"/>
  </w:num>
  <w:num w:numId="16">
    <w:abstractNumId w:val="27"/>
  </w:num>
  <w:num w:numId="17">
    <w:abstractNumId w:val="12"/>
  </w:num>
  <w:num w:numId="18">
    <w:abstractNumId w:val="26"/>
    <w:lvlOverride w:ilvl="0">
      <w:lvl w:ilvl="0">
        <w:start w:val="1"/>
        <w:numFmt w:val="decimal"/>
        <w:pStyle w:val="ListNumber"/>
        <w:lvlText w:val="%1)"/>
        <w:legacy w:legacy="1" w:legacySpace="0" w:legacyIndent="360"/>
        <w:lvlJc w:val="left"/>
        <w:pPr>
          <w:ind w:left="1440" w:hanging="360"/>
        </w:pPr>
        <w:rPr>
          <w:rFonts w:ascii="Symbol" w:hAnsi="Symbol" w:hint="default"/>
          <w:b w:val="0"/>
          <w:i w:val="0"/>
          <w:sz w:val="18"/>
        </w:rPr>
      </w:lvl>
    </w:lvlOverride>
  </w:num>
  <w:num w:numId="19">
    <w:abstractNumId w:val="20"/>
    <w:lvlOverride w:ilvl="0">
      <w:lvl w:ilvl="0">
        <w:start w:val="1"/>
        <w:numFmt w:val="bullet"/>
        <w:lvlText w:val=""/>
        <w:legacy w:legacy="1" w:legacySpace="0" w:legacyIndent="0"/>
        <w:lvlJc w:val="left"/>
        <w:pPr>
          <w:ind w:left="1080" w:firstLine="0"/>
        </w:pPr>
        <w:rPr>
          <w:rFonts w:ascii="Symbol" w:hAnsi="Symbol" w:hint="default"/>
        </w:rPr>
      </w:lvl>
    </w:lvlOverride>
  </w:num>
  <w:num w:numId="20">
    <w:abstractNumId w:val="29"/>
    <w:lvlOverride w:ilvl="0">
      <w:lvl w:ilvl="0">
        <w:start w:val="1"/>
        <w:numFmt w:val="bullet"/>
        <w:lvlText w:val=""/>
        <w:legacy w:legacy="1" w:legacySpace="0" w:legacyIndent="0"/>
        <w:lvlJc w:val="left"/>
        <w:pPr>
          <w:ind w:left="1080" w:firstLine="0"/>
        </w:pPr>
        <w:rPr>
          <w:rFonts w:ascii="Symbol" w:hAnsi="Symbol" w:hint="default"/>
        </w:rPr>
      </w:lvl>
    </w:lvlOverride>
  </w:num>
  <w:num w:numId="21">
    <w:abstractNumId w:val="21"/>
  </w:num>
  <w:num w:numId="22">
    <w:abstractNumId w:val="17"/>
  </w:num>
  <w:num w:numId="23">
    <w:abstractNumId w:val="15"/>
  </w:num>
  <w:num w:numId="24">
    <w:abstractNumId w:val="32"/>
  </w:num>
  <w:num w:numId="25">
    <w:abstractNumId w:val="13"/>
  </w:num>
  <w:num w:numId="26">
    <w:abstractNumId w:val="33"/>
  </w:num>
  <w:num w:numId="27">
    <w:abstractNumId w:val="11"/>
  </w:num>
  <w:num w:numId="28">
    <w:abstractNumId w:val="24"/>
  </w:num>
  <w:num w:numId="29">
    <w:abstractNumId w:val="25"/>
  </w:num>
  <w:num w:numId="30">
    <w:abstractNumId w:val="19"/>
  </w:num>
  <w:num w:numId="31">
    <w:abstractNumId w:val="18"/>
  </w:num>
  <w:num w:numId="32">
    <w:abstractNumId w:val="31"/>
  </w:num>
  <w:num w:numId="33">
    <w:abstractNumId w:val="28"/>
  </w:num>
  <w:num w:numId="34">
    <w:abstractNumId w:val="30"/>
  </w:num>
  <w:num w:numId="35">
    <w:abstractNumId w:val="14"/>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84"/>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DEC"/>
    <w:rsid w:val="00000EC5"/>
    <w:rsid w:val="000515A6"/>
    <w:rsid w:val="000910FF"/>
    <w:rsid w:val="000B69F4"/>
    <w:rsid w:val="000D3528"/>
    <w:rsid w:val="000F1FD2"/>
    <w:rsid w:val="001138EE"/>
    <w:rsid w:val="002B277F"/>
    <w:rsid w:val="002C0D19"/>
    <w:rsid w:val="00311B98"/>
    <w:rsid w:val="00392DEC"/>
    <w:rsid w:val="00396C91"/>
    <w:rsid w:val="00396CAF"/>
    <w:rsid w:val="003C06FF"/>
    <w:rsid w:val="003D29BD"/>
    <w:rsid w:val="00425DB8"/>
    <w:rsid w:val="00451E23"/>
    <w:rsid w:val="00470636"/>
    <w:rsid w:val="004736FA"/>
    <w:rsid w:val="004A7313"/>
    <w:rsid w:val="004D1950"/>
    <w:rsid w:val="004F4E80"/>
    <w:rsid w:val="004F6228"/>
    <w:rsid w:val="00504096"/>
    <w:rsid w:val="00542FD5"/>
    <w:rsid w:val="00560C6A"/>
    <w:rsid w:val="005718B6"/>
    <w:rsid w:val="005F310E"/>
    <w:rsid w:val="00647454"/>
    <w:rsid w:val="00660485"/>
    <w:rsid w:val="00691891"/>
    <w:rsid w:val="006D5220"/>
    <w:rsid w:val="006F0210"/>
    <w:rsid w:val="007A4385"/>
    <w:rsid w:val="007B0112"/>
    <w:rsid w:val="007B250A"/>
    <w:rsid w:val="007C02EF"/>
    <w:rsid w:val="007C6594"/>
    <w:rsid w:val="007F73AB"/>
    <w:rsid w:val="00814B81"/>
    <w:rsid w:val="00815BAA"/>
    <w:rsid w:val="00896217"/>
    <w:rsid w:val="008977C7"/>
    <w:rsid w:val="008A521E"/>
    <w:rsid w:val="00926993"/>
    <w:rsid w:val="009346FF"/>
    <w:rsid w:val="009C18C1"/>
    <w:rsid w:val="009D70CA"/>
    <w:rsid w:val="009F4004"/>
    <w:rsid w:val="009F4BD1"/>
    <w:rsid w:val="009F6B69"/>
    <w:rsid w:val="00A31AEA"/>
    <w:rsid w:val="00AB38A6"/>
    <w:rsid w:val="00AC19D6"/>
    <w:rsid w:val="00AD46D1"/>
    <w:rsid w:val="00AD6212"/>
    <w:rsid w:val="00AD77D3"/>
    <w:rsid w:val="00AF5E1A"/>
    <w:rsid w:val="00B1234E"/>
    <w:rsid w:val="00B4438A"/>
    <w:rsid w:val="00B56B8D"/>
    <w:rsid w:val="00B662B2"/>
    <w:rsid w:val="00BD6B2B"/>
    <w:rsid w:val="00C1515C"/>
    <w:rsid w:val="00C45D02"/>
    <w:rsid w:val="00C6394C"/>
    <w:rsid w:val="00C650F6"/>
    <w:rsid w:val="00C7485F"/>
    <w:rsid w:val="00D05863"/>
    <w:rsid w:val="00D82941"/>
    <w:rsid w:val="00DB6314"/>
    <w:rsid w:val="00E064AD"/>
    <w:rsid w:val="00E44C2D"/>
    <w:rsid w:val="00E61E7F"/>
    <w:rsid w:val="00E66F49"/>
    <w:rsid w:val="00EA4690"/>
    <w:rsid w:val="00F12162"/>
    <w:rsid w:val="00F67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4"/>
    <o:shapelayout v:ext="edit">
      <o:idmap v:ext="edit" data="1"/>
    </o:shapelayout>
  </w:shapeDefaults>
  <w:decimalSymbol w:val="."/>
  <w:listSeparator w:val=","/>
  <w14:docId w14:val="3CE2F3F2"/>
  <w15:chartTrackingRefBased/>
  <w15:docId w15:val="{522557FC-7274-40D7-AFDE-4B72A7CD4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ind w:left="1080"/>
    </w:pPr>
    <w:rPr>
      <w:rFonts w:ascii="Arial" w:hAnsi="Arial"/>
      <w:spacing w:val="-5"/>
    </w:rPr>
  </w:style>
  <w:style w:type="paragraph" w:styleId="Heading1">
    <w:name w:val="heading 1"/>
    <w:basedOn w:val="HeadingBase"/>
    <w:next w:val="BodyText"/>
    <w:qFormat/>
    <w:pPr>
      <w:pBdr>
        <w:top w:val="single" w:sz="48" w:space="3" w:color="FFFFFF"/>
        <w:left w:val="single" w:sz="6" w:space="3" w:color="FFFFFF"/>
        <w:bottom w:val="single" w:sz="6" w:space="3" w:color="FFFFFF"/>
      </w:pBdr>
      <w:shd w:val="solid" w:color="auto" w:fill="auto"/>
      <w:spacing w:before="0" w:after="240" w:line="240" w:lineRule="atLeast"/>
      <w:ind w:left="120"/>
      <w:outlineLvl w:val="0"/>
    </w:pPr>
    <w:rPr>
      <w:rFonts w:ascii="Arial Black" w:hAnsi="Arial Black"/>
      <w:color w:val="FFFFFF"/>
      <w:spacing w:val="-10"/>
      <w:kern w:val="20"/>
      <w:sz w:val="24"/>
    </w:rPr>
  </w:style>
  <w:style w:type="paragraph" w:styleId="Heading2">
    <w:name w:val="heading 2"/>
    <w:basedOn w:val="HeadingBase"/>
    <w:next w:val="BodyText"/>
    <w:qFormat/>
    <w:pPr>
      <w:spacing w:before="0" w:after="240" w:line="240" w:lineRule="atLeast"/>
      <w:ind w:left="0"/>
      <w:outlineLvl w:val="1"/>
    </w:pPr>
    <w:rPr>
      <w:rFonts w:ascii="Arial Black" w:hAnsi="Arial Black"/>
      <w:spacing w:val="-15"/>
    </w:rPr>
  </w:style>
  <w:style w:type="paragraph" w:styleId="Heading3">
    <w:name w:val="heading 3"/>
    <w:basedOn w:val="HeadingBase"/>
    <w:next w:val="BodyText"/>
    <w:qFormat/>
    <w:pPr>
      <w:spacing w:before="0" w:after="240" w:line="240" w:lineRule="atLeast"/>
      <w:outlineLvl w:val="2"/>
    </w:pPr>
    <w:rPr>
      <w:rFonts w:ascii="Arial Black" w:hAnsi="Arial Black"/>
      <w:spacing w:val="-10"/>
      <w:sz w:val="20"/>
    </w:rPr>
  </w:style>
  <w:style w:type="paragraph" w:styleId="Heading4">
    <w:name w:val="heading 4"/>
    <w:basedOn w:val="HeadingBase"/>
    <w:next w:val="BodyText"/>
    <w:qFormat/>
    <w:pPr>
      <w:spacing w:before="0" w:after="240" w:line="240" w:lineRule="atLeast"/>
      <w:outlineLvl w:val="3"/>
    </w:pPr>
  </w:style>
  <w:style w:type="paragraph" w:styleId="Heading5">
    <w:name w:val="heading 5"/>
    <w:basedOn w:val="HeadingBase"/>
    <w:next w:val="BodyText"/>
    <w:qFormat/>
    <w:pPr>
      <w:spacing w:before="0" w:line="240" w:lineRule="atLeast"/>
      <w:ind w:left="1440"/>
      <w:outlineLvl w:val="4"/>
    </w:pPr>
    <w:rPr>
      <w:sz w:val="20"/>
    </w:rPr>
  </w:style>
  <w:style w:type="paragraph" w:styleId="Heading6">
    <w:name w:val="heading 6"/>
    <w:basedOn w:val="HeadingBase"/>
    <w:next w:val="BodyText"/>
    <w:qFormat/>
    <w:pPr>
      <w:ind w:left="1440"/>
      <w:outlineLvl w:val="5"/>
    </w:pPr>
    <w:rPr>
      <w:i/>
      <w:sz w:val="20"/>
    </w:rPr>
  </w:style>
  <w:style w:type="paragraph" w:styleId="Heading7">
    <w:name w:val="heading 7"/>
    <w:basedOn w:val="HeadingBase"/>
    <w:next w:val="BodyText"/>
    <w:qFormat/>
    <w:pPr>
      <w:outlineLvl w:val="6"/>
    </w:pPr>
    <w:rPr>
      <w:sz w:val="20"/>
    </w:rPr>
  </w:style>
  <w:style w:type="paragraph" w:styleId="Heading8">
    <w:name w:val="heading 8"/>
    <w:basedOn w:val="HeadingBase"/>
    <w:next w:val="BodyText"/>
    <w:qFormat/>
    <w:pPr>
      <w:outlineLvl w:val="7"/>
    </w:pPr>
    <w:rPr>
      <w:i/>
      <w:sz w:val="18"/>
    </w:rPr>
  </w:style>
  <w:style w:type="paragraph" w:styleId="Heading9">
    <w:name w:val="heading 9"/>
    <w:basedOn w:val="HeadingBase"/>
    <w:next w:val="BodyText"/>
    <w:qFormat/>
    <w:pPr>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vertAlign w:val="superscript"/>
    </w:rPr>
  </w:style>
  <w:style w:type="paragraph" w:styleId="Title">
    <w:name w:val="Title"/>
    <w:basedOn w:val="HeadingBase"/>
    <w:next w:val="Subtitle"/>
    <w:qFormat/>
    <w:pPr>
      <w:pBdr>
        <w:top w:val="single" w:sz="6" w:space="16" w:color="auto"/>
      </w:pBdr>
      <w:spacing w:before="220" w:after="60" w:line="320" w:lineRule="atLeast"/>
      <w:ind w:left="0"/>
    </w:pPr>
    <w:rPr>
      <w:rFonts w:ascii="Arial Black" w:hAnsi="Arial Black"/>
      <w:spacing w:val="-30"/>
      <w:sz w:val="40"/>
    </w:rPr>
  </w:style>
  <w:style w:type="paragraph" w:styleId="Header">
    <w:name w:val="header"/>
    <w:basedOn w:val="HeaderBase"/>
    <w:link w:val="HeaderChar"/>
  </w:style>
  <w:style w:type="paragraph" w:styleId="Footer">
    <w:name w:val="footer"/>
    <w:basedOn w:val="HeaderBase"/>
    <w:link w:val="FooterChar"/>
  </w:style>
  <w:style w:type="character" w:styleId="PageNumber">
    <w:name w:val="page number"/>
    <w:rPr>
      <w:rFonts w:ascii="Arial Black" w:hAnsi="Arial Black"/>
      <w:spacing w:val="-10"/>
      <w:sz w:val="18"/>
    </w:rPr>
  </w:style>
  <w:style w:type="paragraph" w:customStyle="1" w:styleId="Policy1">
    <w:name w:val="Policy 1"/>
    <w:basedOn w:val="Normal"/>
    <w:pPr>
      <w:tabs>
        <w:tab w:val="left" w:pos="-1440"/>
        <w:tab w:val="left" w:pos="-720"/>
        <w:tab w:val="left" w:pos="0"/>
        <w:tab w:val="left" w:pos="360"/>
        <w:tab w:val="left" w:pos="1440"/>
        <w:tab w:val="left" w:pos="1890"/>
        <w:tab w:val="left" w:pos="2880"/>
        <w:tab w:val="right" w:pos="9216"/>
      </w:tabs>
      <w:ind w:firstLine="360"/>
    </w:pPr>
    <w:rPr>
      <w:rFonts w:ascii="Arial Narrow" w:hAnsi="Arial Narrow"/>
      <w:sz w:val="24"/>
    </w:rPr>
  </w:style>
  <w:style w:type="paragraph" w:customStyle="1" w:styleId="BlockQuotation">
    <w:name w:val="Block Quotation"/>
    <w:basedOn w:val="Normal"/>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jc w:val="both"/>
    </w:pPr>
    <w:rPr>
      <w:rFonts w:ascii="Arial Narrow" w:hAnsi="Arial Narrow"/>
    </w:rPr>
  </w:style>
  <w:style w:type="paragraph" w:styleId="BodyText">
    <w:name w:val="Body Text"/>
    <w:basedOn w:val="Normal"/>
    <w:pPr>
      <w:spacing w:after="240" w:line="240" w:lineRule="atLeast"/>
      <w:jc w:val="both"/>
    </w:pPr>
  </w:style>
  <w:style w:type="paragraph" w:styleId="BodyTextIndent">
    <w:name w:val="Body Text Indent"/>
    <w:basedOn w:val="BodyText"/>
    <w:pPr>
      <w:ind w:left="1440"/>
    </w:pPr>
  </w:style>
  <w:style w:type="paragraph" w:customStyle="1" w:styleId="BodyTextKeep">
    <w:name w:val="Body Text Keep"/>
    <w:basedOn w:val="BodyText"/>
    <w:pPr>
      <w:keepNext/>
    </w:pPr>
  </w:style>
  <w:style w:type="paragraph" w:customStyle="1" w:styleId="Picture">
    <w:name w:val="Picture"/>
    <w:basedOn w:val="Normal"/>
    <w:next w:val="Caption"/>
    <w:pPr>
      <w:keepNext/>
    </w:pPr>
  </w:style>
  <w:style w:type="paragraph" w:styleId="Caption">
    <w:name w:val="caption"/>
    <w:basedOn w:val="Picture"/>
    <w:next w:val="BodyText"/>
    <w:qFormat/>
    <w:pPr>
      <w:numPr>
        <w:numId w:val="11"/>
      </w:numPr>
      <w:spacing w:before="60" w:after="240" w:line="220" w:lineRule="atLeast"/>
    </w:pPr>
    <w:rPr>
      <w:rFonts w:ascii="Arial Narrow" w:hAnsi="Arial Narrow"/>
      <w:spacing w:val="0"/>
      <w:sz w:val="18"/>
    </w:rPr>
  </w:style>
  <w:style w:type="paragraph" w:customStyle="1" w:styleId="PartLabel">
    <w:name w:val="Part Label"/>
    <w:basedOn w:val="Normal"/>
    <w:pPr>
      <w:shd w:val="solid" w:color="auto" w:fill="auto"/>
      <w:spacing w:line="360" w:lineRule="exact"/>
      <w:ind w:left="0"/>
      <w:jc w:val="center"/>
    </w:pPr>
    <w:rPr>
      <w:color w:val="FFFFFF"/>
      <w:spacing w:val="-16"/>
      <w:sz w:val="26"/>
    </w:rPr>
  </w:style>
  <w:style w:type="paragraph" w:customStyle="1" w:styleId="PartTitle">
    <w:name w:val="Part Title"/>
    <w:basedOn w:val="Normal"/>
    <w:pPr>
      <w:shd w:val="solid" w:color="auto" w:fill="auto"/>
      <w:spacing w:line="660" w:lineRule="exact"/>
      <w:ind w:left="0"/>
      <w:jc w:val="center"/>
    </w:pPr>
    <w:rPr>
      <w:rFonts w:ascii="Arial Black" w:hAnsi="Arial Black"/>
      <w:color w:val="FFFFFF"/>
      <w:spacing w:val="-40"/>
      <w:sz w:val="84"/>
    </w:rPr>
  </w:style>
  <w:style w:type="paragraph" w:customStyle="1" w:styleId="HeadingBase">
    <w:name w:val="Heading Base"/>
    <w:basedOn w:val="Normal"/>
    <w:next w:val="BodyText"/>
    <w:pPr>
      <w:keepNext/>
      <w:keepLines/>
      <w:spacing w:before="140" w:line="220" w:lineRule="atLeast"/>
    </w:pPr>
    <w:rPr>
      <w:spacing w:val="-4"/>
      <w:kern w:val="28"/>
      <w:sz w:val="22"/>
    </w:rPr>
  </w:style>
  <w:style w:type="paragraph" w:styleId="Subtitle">
    <w:name w:val="Subtitle"/>
    <w:basedOn w:val="Title"/>
    <w:next w:val="BodyText"/>
    <w:qFormat/>
    <w:pPr>
      <w:pBdr>
        <w:top w:val="none" w:sz="0" w:space="0" w:color="auto"/>
      </w:pBdr>
      <w:spacing w:before="60" w:after="120" w:line="340" w:lineRule="atLeast"/>
    </w:pPr>
    <w:rPr>
      <w:rFonts w:ascii="Arial" w:hAnsi="Arial"/>
      <w:spacing w:val="-16"/>
      <w:sz w:val="32"/>
    </w:rPr>
  </w:style>
  <w:style w:type="paragraph" w:customStyle="1" w:styleId="ChapterSubtitle">
    <w:name w:val="Chapter Subtitle"/>
    <w:basedOn w:val="Subtitle"/>
  </w:style>
  <w:style w:type="paragraph" w:customStyle="1" w:styleId="CompanyName">
    <w:name w:val="Company Name"/>
    <w:basedOn w:val="Normal"/>
    <w:pPr>
      <w:keepNext/>
      <w:keepLines/>
      <w:spacing w:line="220" w:lineRule="atLeast"/>
      <w:ind w:left="0"/>
    </w:pPr>
    <w:rPr>
      <w:rFonts w:ascii="Arial Black" w:hAnsi="Arial Black"/>
      <w:spacing w:val="-25"/>
      <w:kern w:val="28"/>
      <w:sz w:val="32"/>
    </w:rPr>
  </w:style>
  <w:style w:type="paragraph" w:customStyle="1" w:styleId="ChapterTitle">
    <w:name w:val="Chapter Title"/>
    <w:basedOn w:val="Normal"/>
    <w:pPr>
      <w:spacing w:before="120" w:line="660" w:lineRule="exact"/>
      <w:ind w:left="0"/>
      <w:jc w:val="center"/>
    </w:pPr>
    <w:rPr>
      <w:rFonts w:ascii="Arial Black" w:hAnsi="Arial Black"/>
      <w:color w:val="FFFFFF"/>
      <w:spacing w:val="-40"/>
      <w:sz w:val="84"/>
    </w:rPr>
  </w:style>
  <w:style w:type="character" w:styleId="CommentReference">
    <w:name w:val="annotation reference"/>
    <w:semiHidden/>
    <w:rPr>
      <w:rFonts w:ascii="Arial" w:hAnsi="Arial"/>
      <w:sz w:val="16"/>
    </w:rPr>
  </w:style>
  <w:style w:type="paragraph" w:customStyle="1" w:styleId="FootnoteBase">
    <w:name w:val="Footnote Base"/>
    <w:basedOn w:val="Normal"/>
    <w:pPr>
      <w:keepLines/>
      <w:spacing w:line="200" w:lineRule="atLeast"/>
    </w:pPr>
    <w:rPr>
      <w:sz w:val="16"/>
    </w:rPr>
  </w:style>
  <w:style w:type="paragraph" w:styleId="CommentText">
    <w:name w:val="annotation text"/>
    <w:basedOn w:val="FootnoteBase"/>
    <w:semiHidden/>
  </w:style>
  <w:style w:type="paragraph" w:customStyle="1" w:styleId="TableText">
    <w:name w:val="Table Text"/>
    <w:basedOn w:val="Normal"/>
    <w:pPr>
      <w:spacing w:before="60"/>
      <w:ind w:left="0"/>
    </w:pPr>
    <w:rPr>
      <w:sz w:val="16"/>
    </w:rPr>
  </w:style>
  <w:style w:type="paragraph" w:customStyle="1" w:styleId="TitleCover">
    <w:name w:val="Title Cover"/>
    <w:basedOn w:val="HeadingBase"/>
    <w:next w:val="Normal"/>
    <w:pPr>
      <w:pBdr>
        <w:top w:val="single" w:sz="48" w:space="31" w:color="auto"/>
      </w:pBdr>
      <w:tabs>
        <w:tab w:val="left" w:pos="0"/>
      </w:tabs>
      <w:spacing w:before="240" w:after="500" w:line="640" w:lineRule="exact"/>
      <w:ind w:left="0"/>
    </w:pPr>
    <w:rPr>
      <w:rFonts w:ascii="Arial Black" w:hAnsi="Arial Black"/>
      <w:b/>
      <w:spacing w:val="-48"/>
      <w:sz w:val="64"/>
    </w:rPr>
  </w:style>
  <w:style w:type="paragraph" w:customStyle="1" w:styleId="DocumentLabel">
    <w:name w:val="Document Label"/>
    <w:basedOn w:val="TitleCover"/>
  </w:style>
  <w:style w:type="character" w:styleId="Emphasis">
    <w:name w:val="Emphasis"/>
    <w:qFormat/>
    <w:rPr>
      <w:rFonts w:ascii="Arial Black" w:hAnsi="Arial Black"/>
      <w:spacing w:val="-4"/>
      <w:sz w:val="18"/>
    </w:rPr>
  </w:style>
  <w:style w:type="character" w:styleId="EndnoteReference">
    <w:name w:val="endnote reference"/>
    <w:semiHidden/>
    <w:rPr>
      <w:vertAlign w:val="superscript"/>
    </w:rPr>
  </w:style>
  <w:style w:type="paragraph" w:styleId="EndnoteText">
    <w:name w:val="endnote text"/>
    <w:basedOn w:val="FootnoteBase"/>
    <w:semiHidden/>
  </w:style>
  <w:style w:type="paragraph" w:customStyle="1" w:styleId="HeaderBase">
    <w:name w:val="Header Base"/>
    <w:basedOn w:val="Normal"/>
    <w:pPr>
      <w:keepLines/>
      <w:tabs>
        <w:tab w:val="center" w:pos="4320"/>
        <w:tab w:val="right" w:pos="8640"/>
      </w:tabs>
      <w:spacing w:line="190" w:lineRule="atLeast"/>
    </w:pPr>
    <w:rPr>
      <w:caps/>
      <w:sz w:val="15"/>
    </w:rPr>
  </w:style>
  <w:style w:type="paragraph" w:customStyle="1" w:styleId="FooterEven">
    <w:name w:val="Footer Even"/>
    <w:basedOn w:val="Footer"/>
    <w:pPr>
      <w:pBdr>
        <w:top w:val="single" w:sz="6" w:space="2" w:color="auto"/>
      </w:pBdr>
      <w:spacing w:before="600"/>
    </w:pPr>
  </w:style>
  <w:style w:type="paragraph" w:customStyle="1" w:styleId="FooterFirst">
    <w:name w:val="Footer First"/>
    <w:basedOn w:val="Footer"/>
    <w:pPr>
      <w:pBdr>
        <w:top w:val="single" w:sz="6" w:space="2" w:color="auto"/>
      </w:pBdr>
      <w:spacing w:before="600"/>
    </w:pPr>
  </w:style>
  <w:style w:type="paragraph" w:customStyle="1" w:styleId="FooterOdd">
    <w:name w:val="Footer Odd"/>
    <w:basedOn w:val="Footer"/>
    <w:pPr>
      <w:pBdr>
        <w:top w:val="single" w:sz="6" w:space="2" w:color="auto"/>
      </w:pBdr>
      <w:spacing w:before="600"/>
    </w:pPr>
  </w:style>
  <w:style w:type="paragraph" w:styleId="FootnoteText">
    <w:name w:val="footnote text"/>
    <w:basedOn w:val="FootnoteBase"/>
    <w:semiHidden/>
  </w:style>
  <w:style w:type="paragraph" w:customStyle="1" w:styleId="HeaderEven">
    <w:name w:val="Header Even"/>
    <w:basedOn w:val="Header"/>
    <w:pPr>
      <w:pBdr>
        <w:bottom w:val="single" w:sz="6" w:space="1" w:color="auto"/>
      </w:pBdr>
      <w:spacing w:after="600"/>
    </w:pPr>
  </w:style>
  <w:style w:type="paragraph" w:customStyle="1" w:styleId="HeaderFirst">
    <w:name w:val="Header First"/>
    <w:basedOn w:val="Header"/>
    <w:pPr>
      <w:pBdr>
        <w:top w:val="single" w:sz="6" w:space="2" w:color="auto"/>
      </w:pBdr>
      <w:jc w:val="right"/>
    </w:pPr>
  </w:style>
  <w:style w:type="paragraph" w:customStyle="1" w:styleId="HeaderOdd">
    <w:name w:val="Header Odd"/>
    <w:basedOn w:val="Header"/>
    <w:pPr>
      <w:pBdr>
        <w:bottom w:val="single" w:sz="6" w:space="1" w:color="auto"/>
      </w:pBdr>
      <w:spacing w:after="600"/>
    </w:pPr>
  </w:style>
  <w:style w:type="paragraph" w:customStyle="1" w:styleId="IndexBase">
    <w:name w:val="Index Base"/>
    <w:basedOn w:val="Normal"/>
    <w:pPr>
      <w:spacing w:line="240" w:lineRule="atLeast"/>
      <w:ind w:left="360" w:hanging="360"/>
    </w:pPr>
    <w:rPr>
      <w:sz w:val="18"/>
    </w:rPr>
  </w:style>
  <w:style w:type="paragraph" w:styleId="Index1">
    <w:name w:val="index 1"/>
    <w:basedOn w:val="IndexBase"/>
    <w:autoRedefine/>
    <w:semiHidden/>
  </w:style>
  <w:style w:type="paragraph" w:styleId="Index2">
    <w:name w:val="index 2"/>
    <w:basedOn w:val="IndexBase"/>
    <w:autoRedefine/>
    <w:semiHidden/>
    <w:pPr>
      <w:spacing w:line="240" w:lineRule="auto"/>
      <w:ind w:left="720"/>
    </w:pPr>
  </w:style>
  <w:style w:type="paragraph" w:styleId="Index3">
    <w:name w:val="index 3"/>
    <w:basedOn w:val="IndexBase"/>
    <w:autoRedefine/>
    <w:semiHidden/>
    <w:pPr>
      <w:spacing w:line="240" w:lineRule="auto"/>
      <w:ind w:left="1080"/>
    </w:pPr>
  </w:style>
  <w:style w:type="paragraph" w:styleId="Index4">
    <w:name w:val="index 4"/>
    <w:basedOn w:val="IndexBase"/>
    <w:autoRedefine/>
    <w:semiHidden/>
    <w:pPr>
      <w:spacing w:line="240" w:lineRule="auto"/>
      <w:ind w:left="1440"/>
    </w:pPr>
  </w:style>
  <w:style w:type="paragraph" w:styleId="Index5">
    <w:name w:val="index 5"/>
    <w:basedOn w:val="IndexBase"/>
    <w:autoRedefine/>
    <w:semiHidden/>
    <w:pPr>
      <w:spacing w:line="240" w:lineRule="auto"/>
      <w:ind w:left="1800"/>
    </w:pPr>
  </w:style>
  <w:style w:type="paragraph" w:styleId="IndexHeading">
    <w:name w:val="index heading"/>
    <w:basedOn w:val="HeadingBase"/>
    <w:next w:val="Index1"/>
    <w:semiHidden/>
    <w:pPr>
      <w:keepLines w:val="0"/>
      <w:spacing w:before="0" w:line="480" w:lineRule="atLeast"/>
      <w:ind w:left="0"/>
    </w:pPr>
    <w:rPr>
      <w:rFonts w:ascii="Arial Black" w:hAnsi="Arial Black"/>
      <w:spacing w:val="-5"/>
      <w:kern w:val="0"/>
      <w:sz w:val="24"/>
    </w:rPr>
  </w:style>
  <w:style w:type="character" w:customStyle="1" w:styleId="Lead-inEmphasis">
    <w:name w:val="Lead-in Emphasis"/>
    <w:rPr>
      <w:rFonts w:ascii="Arial Black" w:hAnsi="Arial Black"/>
      <w:spacing w:val="-4"/>
      <w:sz w:val="18"/>
    </w:rPr>
  </w:style>
  <w:style w:type="character" w:styleId="LineNumber">
    <w:name w:val="line number"/>
    <w:rPr>
      <w:sz w:val="18"/>
    </w:rPr>
  </w:style>
  <w:style w:type="paragraph" w:styleId="List">
    <w:name w:val="List"/>
    <w:basedOn w:val="BodyText"/>
    <w:pPr>
      <w:ind w:left="1440" w:hanging="360"/>
    </w:pPr>
  </w:style>
  <w:style w:type="paragraph" w:styleId="List2">
    <w:name w:val="List 2"/>
    <w:basedOn w:val="List"/>
    <w:pPr>
      <w:ind w:left="1800"/>
    </w:pPr>
  </w:style>
  <w:style w:type="paragraph" w:styleId="List3">
    <w:name w:val="List 3"/>
    <w:basedOn w:val="List"/>
    <w:pPr>
      <w:ind w:left="2160"/>
    </w:pPr>
  </w:style>
  <w:style w:type="paragraph" w:styleId="List4">
    <w:name w:val="List 4"/>
    <w:basedOn w:val="List"/>
    <w:pPr>
      <w:ind w:left="2520"/>
    </w:pPr>
  </w:style>
  <w:style w:type="paragraph" w:styleId="List5">
    <w:name w:val="List 5"/>
    <w:basedOn w:val="List"/>
    <w:pPr>
      <w:ind w:left="2880"/>
    </w:pPr>
  </w:style>
  <w:style w:type="paragraph" w:styleId="ListBullet">
    <w:name w:val="List Bullet"/>
    <w:basedOn w:val="List"/>
    <w:pPr>
      <w:numPr>
        <w:numId w:val="12"/>
      </w:numPr>
      <w:tabs>
        <w:tab w:val="clear" w:pos="1440"/>
      </w:tabs>
    </w:pPr>
  </w:style>
  <w:style w:type="paragraph" w:styleId="ListBullet2">
    <w:name w:val="List Bullet 2"/>
    <w:basedOn w:val="ListBullet"/>
    <w:autoRedefine/>
    <w:pPr>
      <w:ind w:left="1800"/>
    </w:pPr>
  </w:style>
  <w:style w:type="paragraph" w:styleId="ListBullet3">
    <w:name w:val="List Bullet 3"/>
    <w:basedOn w:val="ListBullet"/>
    <w:autoRedefine/>
    <w:pPr>
      <w:ind w:left="2160"/>
    </w:pPr>
  </w:style>
  <w:style w:type="paragraph" w:styleId="ListBullet4">
    <w:name w:val="List Bullet 4"/>
    <w:basedOn w:val="ListBullet"/>
    <w:autoRedefine/>
    <w:pPr>
      <w:ind w:left="2520"/>
    </w:pPr>
  </w:style>
  <w:style w:type="paragraph" w:styleId="ListBullet5">
    <w:name w:val="List Bullet 5"/>
    <w:basedOn w:val="ListBullet"/>
    <w:autoRedefine/>
    <w:pPr>
      <w:ind w:left="2880"/>
    </w:pPr>
  </w:style>
  <w:style w:type="paragraph" w:styleId="ListContinue">
    <w:name w:val="List Continue"/>
    <w:basedOn w:val="List"/>
    <w:pPr>
      <w:ind w:firstLine="0"/>
    </w:pPr>
  </w:style>
  <w:style w:type="paragraph" w:styleId="ListContinue2">
    <w:name w:val="List Continue 2"/>
    <w:basedOn w:val="ListContinue"/>
    <w:pPr>
      <w:ind w:left="2160"/>
    </w:pPr>
  </w:style>
  <w:style w:type="paragraph" w:styleId="ListContinue3">
    <w:name w:val="List Continue 3"/>
    <w:basedOn w:val="ListContinue"/>
    <w:pPr>
      <w:ind w:left="2520"/>
    </w:pPr>
  </w:style>
  <w:style w:type="paragraph" w:styleId="ListContinue4">
    <w:name w:val="List Continue 4"/>
    <w:basedOn w:val="ListContinue"/>
    <w:pPr>
      <w:ind w:left="2880"/>
    </w:pPr>
  </w:style>
  <w:style w:type="paragraph" w:styleId="ListContinue5">
    <w:name w:val="List Continue 5"/>
    <w:basedOn w:val="ListContinue"/>
    <w:pPr>
      <w:ind w:left="3240"/>
    </w:pPr>
  </w:style>
  <w:style w:type="paragraph" w:styleId="ListNumber">
    <w:name w:val="List Number"/>
    <w:basedOn w:val="List"/>
    <w:pPr>
      <w:numPr>
        <w:numId w:val="13"/>
      </w:numPr>
    </w:pPr>
  </w:style>
  <w:style w:type="paragraph" w:styleId="ListNumber2">
    <w:name w:val="List Number 2"/>
    <w:basedOn w:val="ListNumber"/>
    <w:pPr>
      <w:ind w:left="1800"/>
    </w:pPr>
  </w:style>
  <w:style w:type="paragraph" w:styleId="ListNumber3">
    <w:name w:val="List Number 3"/>
    <w:basedOn w:val="ListNumber"/>
    <w:pPr>
      <w:ind w:left="2160"/>
    </w:pPr>
  </w:style>
  <w:style w:type="paragraph" w:styleId="ListNumber4">
    <w:name w:val="List Number 4"/>
    <w:basedOn w:val="ListNumber"/>
    <w:pPr>
      <w:ind w:left="2520"/>
    </w:pPr>
  </w:style>
  <w:style w:type="paragraph" w:styleId="ListNumber5">
    <w:name w:val="List Number 5"/>
    <w:basedOn w:val="ListNumber"/>
    <w:pPr>
      <w:ind w:left="2880"/>
    </w:pPr>
  </w:style>
  <w:style w:type="paragraph" w:customStyle="1" w:styleId="TableHeader">
    <w:name w:val="Table Header"/>
    <w:basedOn w:val="Normal"/>
    <w:pPr>
      <w:spacing w:before="60"/>
      <w:ind w:left="0"/>
      <w:jc w:val="center"/>
    </w:pPr>
    <w:rPr>
      <w:rFonts w:ascii="Arial Black" w:hAnsi="Arial Black"/>
      <w:sz w:val="16"/>
    </w:rPr>
  </w:style>
  <w:style w:type="paragraph" w:styleId="MessageHeader">
    <w:name w:val="Message Header"/>
    <w:basedOn w:val="BodyText"/>
    <w:pPr>
      <w:keepLines/>
      <w:tabs>
        <w:tab w:val="left" w:pos="3600"/>
        <w:tab w:val="left" w:pos="4680"/>
      </w:tabs>
      <w:spacing w:after="120" w:line="280" w:lineRule="exact"/>
      <w:ind w:right="2160" w:hanging="1080"/>
      <w:jc w:val="left"/>
    </w:pPr>
    <w:rPr>
      <w:spacing w:val="0"/>
      <w:sz w:val="22"/>
    </w:rPr>
  </w:style>
  <w:style w:type="paragraph" w:styleId="NormalIndent">
    <w:name w:val="Normal Indent"/>
    <w:basedOn w:val="Normal"/>
    <w:pPr>
      <w:ind w:left="1440"/>
    </w:pPr>
  </w:style>
  <w:style w:type="paragraph" w:customStyle="1" w:styleId="PartSubtitle">
    <w:name w:val="Part Subtitle"/>
    <w:basedOn w:val="Normal"/>
    <w:next w:val="BodyText"/>
    <w:pPr>
      <w:keepNext/>
      <w:spacing w:before="360" w:after="120"/>
    </w:pPr>
    <w:rPr>
      <w:i/>
      <w:kern w:val="28"/>
      <w:sz w:val="26"/>
    </w:rPr>
  </w:style>
  <w:style w:type="paragraph" w:customStyle="1" w:styleId="ReturnAddress">
    <w:name w:val="Return Address"/>
    <w:basedOn w:val="Normal"/>
    <w:pPr>
      <w:keepLines/>
      <w:framePr w:w="5160" w:h="840" w:wrap="notBeside" w:vAnchor="page" w:hAnchor="page" w:x="6121" w:y="915" w:anchorLock="1"/>
      <w:tabs>
        <w:tab w:val="left" w:pos="2160"/>
      </w:tabs>
      <w:spacing w:line="160" w:lineRule="atLeast"/>
      <w:ind w:left="0"/>
    </w:pPr>
    <w:rPr>
      <w:spacing w:val="0"/>
      <w:sz w:val="14"/>
    </w:rPr>
  </w:style>
  <w:style w:type="paragraph" w:customStyle="1" w:styleId="SectionHeading">
    <w:name w:val="Section Heading"/>
    <w:basedOn w:val="Heading1"/>
  </w:style>
  <w:style w:type="paragraph" w:customStyle="1" w:styleId="SectionLabel">
    <w:name w:val="Section Label"/>
    <w:basedOn w:val="HeadingBase"/>
    <w:next w:val="BodyText"/>
    <w:pPr>
      <w:pBdr>
        <w:bottom w:val="single" w:sz="6" w:space="2" w:color="auto"/>
      </w:pBdr>
      <w:spacing w:before="360" w:after="960"/>
      <w:ind w:left="0"/>
    </w:pPr>
    <w:rPr>
      <w:rFonts w:ascii="Arial Black" w:hAnsi="Arial Black"/>
      <w:spacing w:val="-35"/>
      <w:sz w:val="54"/>
    </w:rPr>
  </w:style>
  <w:style w:type="character" w:customStyle="1" w:styleId="Slogan">
    <w:name w:val="Slogan"/>
    <w:rPr>
      <w:i/>
      <w:spacing w:val="-6"/>
      <w:sz w:val="24"/>
    </w:rPr>
  </w:style>
  <w:style w:type="paragraph" w:customStyle="1" w:styleId="SubtitleCover">
    <w:name w:val="Subtitle Cover"/>
    <w:basedOn w:val="TitleCover"/>
    <w:next w:val="BodyText"/>
    <w:pPr>
      <w:pBdr>
        <w:top w:val="single" w:sz="6" w:space="24" w:color="auto"/>
      </w:pBdr>
      <w:tabs>
        <w:tab w:val="clear" w:pos="0"/>
      </w:tabs>
      <w:spacing w:before="0" w:after="0" w:line="480" w:lineRule="atLeast"/>
      <w:ind w:left="835" w:right="835"/>
    </w:pPr>
    <w:rPr>
      <w:rFonts w:ascii="Arial" w:hAnsi="Arial"/>
      <w:b w:val="0"/>
      <w:spacing w:val="-30"/>
      <w:sz w:val="48"/>
    </w:rPr>
  </w:style>
  <w:style w:type="character" w:customStyle="1" w:styleId="Superscript">
    <w:name w:val="Superscript"/>
    <w:rPr>
      <w:b/>
      <w:vertAlign w:val="superscript"/>
    </w:rPr>
  </w:style>
  <w:style w:type="paragraph" w:styleId="TableofAuthorities">
    <w:name w:val="table of authorities"/>
    <w:basedOn w:val="Normal"/>
    <w:semiHidden/>
    <w:pPr>
      <w:tabs>
        <w:tab w:val="right" w:leader="dot" w:pos="7560"/>
      </w:tabs>
      <w:ind w:left="1440" w:hanging="360"/>
    </w:pPr>
  </w:style>
  <w:style w:type="paragraph" w:customStyle="1" w:styleId="TOCBase">
    <w:name w:val="TOC Base"/>
    <w:basedOn w:val="Normal"/>
    <w:pPr>
      <w:tabs>
        <w:tab w:val="right" w:leader="dot" w:pos="6480"/>
      </w:tabs>
      <w:spacing w:after="240" w:line="240" w:lineRule="atLeast"/>
      <w:ind w:left="0"/>
    </w:pPr>
  </w:style>
  <w:style w:type="paragraph" w:styleId="TableofFigures">
    <w:name w:val="table of figures"/>
    <w:basedOn w:val="TOCBase"/>
    <w:semiHidden/>
    <w:pPr>
      <w:ind w:left="1440" w:hanging="360"/>
    </w:pPr>
  </w:style>
  <w:style w:type="paragraph" w:styleId="TOAHeading">
    <w:name w:val="toa heading"/>
    <w:basedOn w:val="Normal"/>
    <w:next w:val="TableofAuthorities"/>
    <w:semiHidden/>
    <w:pPr>
      <w:keepNext/>
      <w:spacing w:line="480" w:lineRule="atLeast"/>
    </w:pPr>
    <w:rPr>
      <w:rFonts w:ascii="Arial Black" w:hAnsi="Arial Black"/>
      <w:b/>
      <w:spacing w:val="-10"/>
      <w:kern w:val="28"/>
    </w:rPr>
  </w:style>
  <w:style w:type="paragraph" w:styleId="TOC1">
    <w:name w:val="toc 1"/>
    <w:basedOn w:val="TOCBase"/>
    <w:autoRedefine/>
    <w:semiHidden/>
    <w:rPr>
      <w:spacing w:val="-4"/>
    </w:rPr>
  </w:style>
  <w:style w:type="paragraph" w:styleId="TOC2">
    <w:name w:val="toc 2"/>
    <w:basedOn w:val="TOCBase"/>
    <w:autoRedefine/>
    <w:semiHidden/>
    <w:pPr>
      <w:ind w:left="360"/>
    </w:pPr>
  </w:style>
  <w:style w:type="paragraph" w:styleId="TOC3">
    <w:name w:val="toc 3"/>
    <w:basedOn w:val="TOCBase"/>
    <w:autoRedefine/>
    <w:semiHidden/>
    <w:pPr>
      <w:ind w:left="360"/>
    </w:pPr>
  </w:style>
  <w:style w:type="paragraph" w:styleId="TOC4">
    <w:name w:val="toc 4"/>
    <w:basedOn w:val="TOCBase"/>
    <w:autoRedefine/>
    <w:semiHidden/>
    <w:pPr>
      <w:ind w:left="360"/>
    </w:pPr>
  </w:style>
  <w:style w:type="paragraph" w:styleId="TOC5">
    <w:name w:val="toc 5"/>
    <w:basedOn w:val="TOCBase"/>
    <w:autoRedefine/>
    <w:semiHidden/>
    <w:pPr>
      <w:ind w:left="360"/>
    </w:pPr>
  </w:style>
  <w:style w:type="paragraph" w:customStyle="1" w:styleId="CSDAPolicy1">
    <w:name w:val="CSDA Policy 1"/>
    <w:basedOn w:val="Normal"/>
    <w:pPr>
      <w:tabs>
        <w:tab w:val="left" w:pos="-1440"/>
        <w:tab w:val="left" w:pos="-720"/>
        <w:tab w:val="left" w:pos="0"/>
        <w:tab w:val="left" w:pos="810"/>
        <w:tab w:val="left" w:pos="1800"/>
        <w:tab w:val="left" w:pos="2160"/>
        <w:tab w:val="left" w:pos="2880"/>
        <w:tab w:val="left" w:pos="3600"/>
        <w:tab w:val="left" w:pos="4320"/>
        <w:tab w:val="left" w:pos="5040"/>
        <w:tab w:val="left" w:pos="5760"/>
      </w:tabs>
      <w:ind w:left="0"/>
    </w:pPr>
    <w:rPr>
      <w:rFonts w:ascii="Arial Narrow" w:hAnsi="Arial Narrow"/>
      <w:sz w:val="24"/>
    </w:rPr>
  </w:style>
  <w:style w:type="character" w:customStyle="1" w:styleId="HeaderChar">
    <w:name w:val="Header Char"/>
    <w:basedOn w:val="DefaultParagraphFont"/>
    <w:link w:val="Header"/>
    <w:rsid w:val="00C45D02"/>
    <w:rPr>
      <w:rFonts w:ascii="Arial" w:hAnsi="Arial"/>
      <w:caps/>
      <w:spacing w:val="-5"/>
      <w:sz w:val="15"/>
    </w:rPr>
  </w:style>
  <w:style w:type="table" w:styleId="TableGrid">
    <w:name w:val="Table Grid"/>
    <w:basedOn w:val="TableNormal"/>
    <w:rsid w:val="00C45D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C45D02"/>
    <w:rPr>
      <w:rFonts w:ascii="Arial" w:hAnsi="Arial"/>
      <w:caps/>
      <w:spacing w:val="-5"/>
      <w:sz w:val="15"/>
    </w:rPr>
  </w:style>
  <w:style w:type="paragraph" w:styleId="ListParagraph">
    <w:name w:val="List Paragraph"/>
    <w:basedOn w:val="Normal"/>
    <w:uiPriority w:val="34"/>
    <w:qFormat/>
    <w:rsid w:val="007B250A"/>
    <w:pPr>
      <w:ind w:left="720"/>
      <w:contextualSpacing/>
    </w:pPr>
  </w:style>
  <w:style w:type="paragraph" w:customStyle="1" w:styleId="Default">
    <w:name w:val="Default"/>
    <w:rsid w:val="009F6B69"/>
    <w:pPr>
      <w:widowControl w:val="0"/>
      <w:autoSpaceDE w:val="0"/>
      <w:autoSpaceDN w:val="0"/>
      <w:adjustRightInd w:val="0"/>
    </w:pPr>
    <w:rPr>
      <w:rFonts w:eastAsiaTheme="minor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2627135">
      <w:bodyDiv w:val="1"/>
      <w:marLeft w:val="0"/>
      <w:marRight w:val="0"/>
      <w:marTop w:val="0"/>
      <w:marBottom w:val="0"/>
      <w:divBdr>
        <w:top w:val="none" w:sz="0" w:space="0" w:color="auto"/>
        <w:left w:val="none" w:sz="0" w:space="0" w:color="auto"/>
        <w:bottom w:val="none" w:sz="0" w:space="0" w:color="auto"/>
        <w:right w:val="none" w:sz="0" w:space="0" w:color="auto"/>
      </w:divBdr>
    </w:div>
    <w:div w:id="1980912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3C7DB827.dotm</Template>
  <TotalTime>8</TotalTime>
  <Pages>2</Pages>
  <Words>906</Words>
  <Characters>5205</Characters>
  <Application>Microsoft Office Word</Application>
  <DocSecurity>0</DocSecurity>
  <PresentationFormat>11|.DOC</PresentationFormat>
  <Lines>43</Lines>
  <Paragraphs>12</Paragraphs>
  <ScaleCrop>false</ScaleCrop>
  <HeadingPairs>
    <vt:vector size="2" baseType="variant">
      <vt:variant>
        <vt:lpstr>Title</vt:lpstr>
      </vt:variant>
      <vt:variant>
        <vt:i4>1</vt:i4>
      </vt:variant>
    </vt:vector>
  </HeadingPairs>
  <TitlesOfParts>
    <vt:vector size="1" baseType="lpstr">
      <vt:lpstr>Special District Association Policy Update-5040 Meeting Conduct  (00475342.DOC;1)</vt:lpstr>
    </vt:vector>
  </TitlesOfParts>
  <Company/>
  <LinksUpToDate>false</LinksUpToDate>
  <CharactersWithSpaces>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District Association Policy Update-5040 Meeting Conduct  (00475342.DOC;1)</dc:title>
  <dc:subject/>
  <dc:creator>Mike Glaze</dc:creator>
  <cp:keywords/>
  <dc:description/>
  <cp:lastModifiedBy>Karin Hennings</cp:lastModifiedBy>
  <cp:revision>7</cp:revision>
  <cp:lastPrinted>2019-09-24T00:02:00Z</cp:lastPrinted>
  <dcterms:created xsi:type="dcterms:W3CDTF">2019-09-19T19:01:00Z</dcterms:created>
  <dcterms:modified xsi:type="dcterms:W3CDTF">2019-10-23T17:21:00Z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rDate">
    <vt:lpwstr>11/28/2016 10:00:07 AM</vt:lpwstr>
  </property>
</Properties>
</file>