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AE6" w:rsidRPr="00B863D1" w:rsidRDefault="00B06AE6" w:rsidP="00B06AE6">
      <w:pPr>
        <w:spacing w:after="0" w:line="240" w:lineRule="auto"/>
        <w:rPr>
          <w:rFonts w:eastAsia="Times New Roman" w:cs="Times New Roman"/>
          <w:b/>
          <w:sz w:val="20"/>
          <w:szCs w:val="20"/>
        </w:rPr>
      </w:pPr>
      <w:r w:rsidRPr="00B863D1">
        <w:rPr>
          <w:rFonts w:eastAsia="Times New Roman" w:cs="Times New Roman"/>
          <w:b/>
          <w:sz w:val="20"/>
          <w:szCs w:val="20"/>
        </w:rPr>
        <w:t xml:space="preserve">DEL PUERTO HEALTH CARE DISTRICT                                                           </w:t>
      </w:r>
    </w:p>
    <w:p w:rsidR="00B06AE6" w:rsidRPr="00B863D1" w:rsidRDefault="00B06AE6" w:rsidP="00B06AE6">
      <w:pPr>
        <w:tabs>
          <w:tab w:val="left" w:pos="1140"/>
        </w:tabs>
        <w:spacing w:after="0" w:line="240" w:lineRule="auto"/>
        <w:ind w:left="20"/>
        <w:rPr>
          <w:rFonts w:eastAsia="Times New Roman" w:cs="Times New Roman"/>
          <w:b/>
          <w:sz w:val="20"/>
          <w:szCs w:val="20"/>
        </w:rPr>
      </w:pPr>
      <w:r w:rsidRPr="00B863D1">
        <w:rPr>
          <w:rFonts w:eastAsia="Times New Roman" w:cs="Times New Roman"/>
          <w:b/>
          <w:sz w:val="20"/>
          <w:szCs w:val="20"/>
        </w:rPr>
        <w:t>POLICY MANUAL</w:t>
      </w:r>
      <w:r w:rsidRPr="00B863D1">
        <w:rPr>
          <w:rFonts w:eastAsia="Times New Roman" w:cs="Times New Roman"/>
          <w:b/>
          <w:sz w:val="20"/>
          <w:szCs w:val="20"/>
        </w:rPr>
        <w:tab/>
      </w:r>
      <w:r w:rsidRPr="00B863D1">
        <w:rPr>
          <w:rFonts w:eastAsia="Times New Roman" w:cs="Times New Roman"/>
          <w:b/>
          <w:sz w:val="20"/>
          <w:szCs w:val="20"/>
        </w:rPr>
        <w:tab/>
      </w:r>
      <w:r w:rsidRPr="00B863D1">
        <w:rPr>
          <w:rFonts w:eastAsia="Times New Roman" w:cs="Times New Roman"/>
          <w:b/>
          <w:sz w:val="20"/>
          <w:szCs w:val="20"/>
        </w:rPr>
        <w:tab/>
      </w:r>
      <w:r w:rsidRPr="00B863D1">
        <w:rPr>
          <w:rFonts w:eastAsia="Times New Roman" w:cs="Times New Roman"/>
          <w:b/>
          <w:sz w:val="20"/>
          <w:szCs w:val="20"/>
        </w:rPr>
        <w:tab/>
      </w:r>
      <w:r w:rsidRPr="00B863D1">
        <w:rPr>
          <w:rFonts w:eastAsia="Times New Roman" w:cs="Times New Roman"/>
          <w:b/>
          <w:sz w:val="20"/>
          <w:szCs w:val="20"/>
        </w:rPr>
        <w:tab/>
      </w:r>
      <w:r w:rsidRPr="00B863D1">
        <w:rPr>
          <w:rFonts w:eastAsia="Times New Roman" w:cs="Times New Roman"/>
          <w:b/>
          <w:sz w:val="20"/>
          <w:szCs w:val="20"/>
        </w:rPr>
        <w:tab/>
      </w:r>
      <w:r w:rsidRPr="00B863D1">
        <w:rPr>
          <w:rFonts w:eastAsia="Times New Roman" w:cs="Times New Roman"/>
          <w:b/>
          <w:sz w:val="20"/>
          <w:szCs w:val="20"/>
        </w:rPr>
        <w:tab/>
        <w:t xml:space="preserve">      </w:t>
      </w:r>
    </w:p>
    <w:p w:rsidR="00B06AE6" w:rsidRPr="00B863D1" w:rsidRDefault="00B06AE6" w:rsidP="00B06AE6">
      <w:pPr>
        <w:spacing w:after="0" w:line="240" w:lineRule="auto"/>
        <w:rPr>
          <w:rFonts w:eastAsia="Times New Roman" w:cs="Times New Roman"/>
          <w:b/>
          <w:sz w:val="20"/>
          <w:szCs w:val="20"/>
        </w:rPr>
      </w:pPr>
      <w:r w:rsidRPr="00B863D1">
        <w:rPr>
          <w:rFonts w:eastAsia="Times New Roman" w:cs="Times New Roman"/>
          <w:b/>
          <w:sz w:val="20"/>
          <w:szCs w:val="20"/>
        </w:rPr>
        <w:t>SECTION: ADMINISTRATIVE</w:t>
      </w:r>
      <w:r w:rsidRPr="00B863D1">
        <w:rPr>
          <w:rFonts w:eastAsia="Times New Roman" w:cs="Times New Roman"/>
          <w:b/>
          <w:sz w:val="20"/>
          <w:szCs w:val="20"/>
        </w:rPr>
        <w:tab/>
      </w:r>
      <w:r w:rsidRPr="00B863D1">
        <w:rPr>
          <w:rFonts w:eastAsia="Times New Roman" w:cs="Times New Roman"/>
          <w:b/>
          <w:sz w:val="20"/>
          <w:szCs w:val="20"/>
        </w:rPr>
        <w:tab/>
      </w:r>
      <w:r w:rsidRPr="00B863D1">
        <w:rPr>
          <w:rFonts w:eastAsia="Times New Roman" w:cs="Times New Roman"/>
          <w:b/>
          <w:sz w:val="20"/>
          <w:szCs w:val="20"/>
        </w:rPr>
        <w:tab/>
      </w:r>
      <w:r w:rsidRPr="00B863D1">
        <w:rPr>
          <w:rFonts w:eastAsia="Times New Roman" w:cs="Times New Roman"/>
          <w:b/>
          <w:sz w:val="20"/>
          <w:szCs w:val="20"/>
        </w:rPr>
        <w:tab/>
      </w:r>
      <w:r w:rsidRPr="00B863D1">
        <w:rPr>
          <w:rFonts w:eastAsia="Times New Roman" w:cs="Times New Roman"/>
          <w:b/>
          <w:sz w:val="20"/>
          <w:szCs w:val="20"/>
        </w:rPr>
        <w:tab/>
      </w:r>
      <w:r w:rsidRPr="00B863D1">
        <w:rPr>
          <w:rFonts w:eastAsia="Times New Roman" w:cs="Times New Roman"/>
          <w:b/>
          <w:sz w:val="20"/>
          <w:szCs w:val="20"/>
        </w:rPr>
        <w:tab/>
        <w:t xml:space="preserve">      </w:t>
      </w:r>
    </w:p>
    <w:p w:rsidR="00B06AE6" w:rsidRPr="00B863D1" w:rsidRDefault="00B06AE6" w:rsidP="00B06AE6">
      <w:pPr>
        <w:spacing w:after="0" w:line="240" w:lineRule="auto"/>
        <w:rPr>
          <w:rFonts w:eastAsia="Times New Roman" w:cs="Times New Roman"/>
          <w:b/>
          <w:sz w:val="20"/>
          <w:szCs w:val="20"/>
        </w:rPr>
      </w:pPr>
      <w:r w:rsidRPr="00B863D1">
        <w:rPr>
          <w:rFonts w:eastAsia="Times New Roman" w:cs="Times New Roman"/>
          <w:b/>
          <w:sz w:val="20"/>
          <w:szCs w:val="20"/>
        </w:rPr>
        <w:t>TITLE:</w:t>
      </w:r>
      <w:r>
        <w:rPr>
          <w:rFonts w:eastAsia="Times New Roman" w:cs="Times New Roman"/>
          <w:b/>
          <w:sz w:val="20"/>
          <w:szCs w:val="20"/>
        </w:rPr>
        <w:t xml:space="preserve"> Continuing Education and Reimbursement</w:t>
      </w:r>
    </w:p>
    <w:p w:rsidR="00B06AE6" w:rsidRPr="00B863D1" w:rsidRDefault="00B06AE6" w:rsidP="00B06AE6">
      <w:pPr>
        <w:spacing w:after="0" w:line="240" w:lineRule="auto"/>
        <w:rPr>
          <w:rFonts w:eastAsia="Times New Roman" w:cs="Times New Roman"/>
          <w:sz w:val="20"/>
          <w:szCs w:val="20"/>
        </w:rPr>
      </w:pPr>
      <w:r w:rsidRPr="00B863D1">
        <w:rPr>
          <w:rFonts w:eastAsia="Times New Roman" w:cs="Times New Roman"/>
          <w:b/>
          <w:sz w:val="20"/>
          <w:szCs w:val="20"/>
        </w:rPr>
        <w:tab/>
      </w:r>
    </w:p>
    <w:p w:rsidR="00B06AE6" w:rsidRPr="006D4AC8" w:rsidRDefault="00B06AE6" w:rsidP="00B06AE6">
      <w:pPr>
        <w:spacing w:after="0" w:line="240" w:lineRule="auto"/>
        <w:ind w:left="20"/>
        <w:rPr>
          <w:sz w:val="18"/>
          <w:szCs w:val="18"/>
        </w:rPr>
      </w:pPr>
      <w:r w:rsidRPr="00B863D1">
        <w:rPr>
          <w:rFonts w:eastAsia="Times New Roman" w:cs="Times New Roman"/>
          <w:b/>
          <w:sz w:val="20"/>
          <w:szCs w:val="20"/>
          <w:u w:val="single"/>
        </w:rPr>
        <w:t>POLICY:</w:t>
      </w:r>
      <w:r>
        <w:rPr>
          <w:b/>
        </w:rPr>
        <w:tab/>
      </w:r>
    </w:p>
    <w:p w:rsidR="00B06AE6" w:rsidRPr="00125B9D" w:rsidRDefault="00B06AE6" w:rsidP="00B06AE6">
      <w:pPr>
        <w:spacing w:after="0"/>
        <w:rPr>
          <w:b/>
        </w:rPr>
      </w:pPr>
      <w:r w:rsidRPr="008B1C30">
        <w:rPr>
          <w:b/>
        </w:rPr>
        <w:t xml:space="preserve">                       </w:t>
      </w:r>
      <w:r>
        <w:rPr>
          <w:b/>
        </w:rPr>
        <w:t xml:space="preserve">                       </w:t>
      </w:r>
      <w:r w:rsidRPr="008B1C30">
        <w:rPr>
          <w:b/>
          <w:sz w:val="44"/>
          <w:szCs w:val="44"/>
        </w:rPr>
        <w:t xml:space="preserve">     </w:t>
      </w:r>
    </w:p>
    <w:p w:rsidR="00B06AE6" w:rsidRDefault="00B06AE6" w:rsidP="00B06AE6">
      <w:pPr>
        <w:spacing w:after="0"/>
      </w:pPr>
      <w:r>
        <w:t>All eligible Regular Full-Time employees will be compensated a designated number of hours per year</w:t>
      </w:r>
    </w:p>
    <w:p w:rsidR="00B06AE6" w:rsidRDefault="00B06AE6" w:rsidP="00B06AE6">
      <w:proofErr w:type="gramStart"/>
      <w:r>
        <w:t>for</w:t>
      </w:r>
      <w:proofErr w:type="gramEnd"/>
      <w:r>
        <w:t xml:space="preserve"> Continuing Education (CE), according to classification and work schedules. For the purpose of defining eligibility, an employee must successfully complete the 90 day probationary period and work the required departmental full time hours. All requests for continuing education must be preapproved by the Administrative Director or their designee. All payment for continuing education hours will be paid at the employee’s regular rate of pay. Payment for CE hours shall be made only for hours actually spent in a classroom (or the equivalent). The District reserves the right to reject requests for continuing education that are not within the employee’s scope of employment.  Requests for payment of CE hours must be submitted within 60 days of course completion and be submitted with a copy of the valid continuing education certificate with the employees’ time sheet. Request for CE reimbursement, must be submitted on a check requisition request form, with the appropriate records attached, within 60 days of completion.</w:t>
      </w:r>
    </w:p>
    <w:p w:rsidR="00B06AE6" w:rsidRPr="006F1924" w:rsidRDefault="00B06AE6" w:rsidP="00B06AE6">
      <w:pPr>
        <w:rPr>
          <w:b/>
          <w:u w:val="single"/>
        </w:rPr>
      </w:pPr>
      <w:r w:rsidRPr="006F1924">
        <w:rPr>
          <w:b/>
          <w:u w:val="single"/>
        </w:rPr>
        <w:t>CE by Position/Class:</w:t>
      </w:r>
    </w:p>
    <w:p w:rsidR="00B06AE6" w:rsidRPr="009C2018" w:rsidRDefault="00B06AE6" w:rsidP="00B06AE6">
      <w:pPr>
        <w:spacing w:after="0"/>
        <w:rPr>
          <w:b/>
        </w:rPr>
      </w:pPr>
      <w:r w:rsidRPr="009C2018">
        <w:rPr>
          <w:b/>
        </w:rPr>
        <w:t>Class 01 PDA</w:t>
      </w:r>
    </w:p>
    <w:p w:rsidR="00B06AE6" w:rsidRDefault="00B06AE6" w:rsidP="00B06AE6">
      <w:r>
        <w:t>FT Paramedic</w:t>
      </w:r>
      <w:r>
        <w:tab/>
      </w:r>
      <w:r>
        <w:tab/>
        <w:t>24 hrs. Annually</w:t>
      </w:r>
    </w:p>
    <w:p w:rsidR="00B06AE6" w:rsidRDefault="00B06AE6" w:rsidP="00B06AE6">
      <w:r>
        <w:t>PT Paramedic</w:t>
      </w:r>
      <w:r>
        <w:tab/>
      </w:r>
      <w:r>
        <w:tab/>
        <w:t>CE’s are not allotted</w:t>
      </w:r>
    </w:p>
    <w:p w:rsidR="00B06AE6" w:rsidRDefault="00B06AE6" w:rsidP="00B06AE6">
      <w:r>
        <w:t>FT EMT</w:t>
      </w:r>
      <w:r>
        <w:tab/>
      </w:r>
      <w:r>
        <w:tab/>
      </w:r>
      <w:r>
        <w:tab/>
        <w:t>12 hrs. Annually</w:t>
      </w:r>
    </w:p>
    <w:p w:rsidR="00B06AE6" w:rsidRDefault="00B06AE6" w:rsidP="00B06AE6">
      <w:r>
        <w:t>PT EMT</w:t>
      </w:r>
      <w:r>
        <w:tab/>
      </w:r>
      <w:r>
        <w:tab/>
      </w:r>
      <w:r>
        <w:tab/>
        <w:t>CE’s are not allotted</w:t>
      </w:r>
    </w:p>
    <w:p w:rsidR="00B06AE6" w:rsidRDefault="00B06AE6" w:rsidP="00B06AE6">
      <w:pPr>
        <w:spacing w:after="0"/>
      </w:pPr>
      <w:r>
        <w:t>CE hours must be used on an annual basis and may not be carried over.</w:t>
      </w:r>
    </w:p>
    <w:p w:rsidR="00B06AE6" w:rsidRDefault="00B06AE6" w:rsidP="00B06AE6">
      <w:r>
        <w:t xml:space="preserve">CE hours may not be applied toward the cost of licensing fees. </w:t>
      </w:r>
    </w:p>
    <w:p w:rsidR="00B06AE6" w:rsidRPr="009C2018" w:rsidRDefault="00B06AE6" w:rsidP="00B06AE6">
      <w:pPr>
        <w:spacing w:after="0"/>
        <w:rPr>
          <w:b/>
          <w:u w:val="single"/>
        </w:rPr>
      </w:pPr>
      <w:r w:rsidRPr="009C2018">
        <w:rPr>
          <w:b/>
          <w:u w:val="single"/>
        </w:rPr>
        <w:t>Class 02 DPCHD</w:t>
      </w:r>
    </w:p>
    <w:p w:rsidR="00B06AE6" w:rsidRDefault="00B06AE6" w:rsidP="00B06AE6">
      <w:r>
        <w:t>Administration</w:t>
      </w:r>
      <w:r>
        <w:tab/>
      </w:r>
      <w:r>
        <w:tab/>
        <w:t>CE’s are not allotted.</w:t>
      </w:r>
    </w:p>
    <w:p w:rsidR="00B06AE6" w:rsidRDefault="00B06AE6" w:rsidP="00B06AE6">
      <w:pPr>
        <w:spacing w:after="0"/>
        <w:rPr>
          <w:b/>
          <w:u w:val="single"/>
        </w:rPr>
      </w:pPr>
      <w:r w:rsidRPr="00F56E1B">
        <w:rPr>
          <w:b/>
          <w:u w:val="single"/>
        </w:rPr>
        <w:t>Class 03 DPHC</w:t>
      </w:r>
    </w:p>
    <w:p w:rsidR="00B06AE6" w:rsidRDefault="00B06AE6" w:rsidP="00B06AE6">
      <w:pPr>
        <w:spacing w:after="0"/>
      </w:pPr>
      <w:r>
        <w:t>Nurse Practitioner</w:t>
      </w:r>
      <w:r>
        <w:tab/>
        <w:t>1wk. (Equivalent hrs. worked) CE paid time off annually.</w:t>
      </w:r>
    </w:p>
    <w:p w:rsidR="00B06AE6" w:rsidRDefault="00B06AE6" w:rsidP="00B06AE6">
      <w:r>
        <w:tab/>
      </w:r>
      <w:r>
        <w:tab/>
      </w:r>
      <w:r>
        <w:tab/>
        <w:t>$2,500 CE reimbursement annually.</w:t>
      </w:r>
    </w:p>
    <w:p w:rsidR="00B06AE6" w:rsidRDefault="00B06AE6" w:rsidP="00B06AE6">
      <w:pPr>
        <w:spacing w:after="0"/>
      </w:pPr>
      <w:r>
        <w:t>Physician Assistant</w:t>
      </w:r>
      <w:r>
        <w:tab/>
        <w:t>1wk. (Equivalent hrs. worked) CE paid time off annually.</w:t>
      </w:r>
    </w:p>
    <w:p w:rsidR="00B06AE6" w:rsidRDefault="00B06AE6" w:rsidP="00B06AE6">
      <w:r>
        <w:tab/>
      </w:r>
      <w:r>
        <w:tab/>
      </w:r>
      <w:r>
        <w:tab/>
        <w:t>$2,500 CE reimbursement annually.</w:t>
      </w:r>
    </w:p>
    <w:p w:rsidR="00B06AE6" w:rsidRDefault="00B06AE6" w:rsidP="00B06AE6">
      <w:r>
        <w:t>Medical Assistant</w:t>
      </w:r>
      <w:r>
        <w:tab/>
        <w:t>CE’s are not allotted.</w:t>
      </w:r>
    </w:p>
    <w:p w:rsidR="00B06AE6" w:rsidRDefault="00B06AE6" w:rsidP="00B06AE6">
      <w:pPr>
        <w:spacing w:after="0"/>
      </w:pPr>
      <w:r>
        <w:t>CE paid time off and CE reimbursement must be used on annual basis and may not be carried over.</w:t>
      </w:r>
    </w:p>
    <w:p w:rsidR="00B06AE6" w:rsidRPr="00B863D1" w:rsidRDefault="00B06AE6" w:rsidP="00B06AE6">
      <w:pPr>
        <w:spacing w:after="0" w:line="240" w:lineRule="auto"/>
        <w:ind w:left="20"/>
        <w:rPr>
          <w:rFonts w:eastAsia="Times New Roman" w:cs="Times New Roman"/>
          <w:sz w:val="20"/>
          <w:szCs w:val="20"/>
        </w:rPr>
      </w:pPr>
    </w:p>
    <w:tbl>
      <w:tblPr>
        <w:tblStyle w:val="TableGrid"/>
        <w:tblW w:w="0" w:type="auto"/>
        <w:tblLook w:val="04A0" w:firstRow="1" w:lastRow="0" w:firstColumn="1" w:lastColumn="0" w:noHBand="0" w:noVBand="1"/>
      </w:tblPr>
      <w:tblGrid>
        <w:gridCol w:w="1234"/>
        <w:gridCol w:w="1346"/>
        <w:gridCol w:w="2011"/>
        <w:gridCol w:w="2726"/>
        <w:gridCol w:w="2033"/>
      </w:tblGrid>
      <w:tr w:rsidR="00B06AE6" w:rsidRPr="00B863D1" w:rsidTr="000D10AF">
        <w:tc>
          <w:tcPr>
            <w:tcW w:w="1234" w:type="dxa"/>
            <w:shd w:val="clear" w:color="auto" w:fill="FFFFFF" w:themeFill="background1"/>
          </w:tcPr>
          <w:p w:rsidR="00B06AE6" w:rsidRPr="00B863D1" w:rsidRDefault="00B06AE6" w:rsidP="000D10AF">
            <w:pPr>
              <w:rPr>
                <w:sz w:val="20"/>
                <w:szCs w:val="20"/>
              </w:rPr>
            </w:pPr>
            <w:r w:rsidRPr="00B863D1">
              <w:rPr>
                <w:sz w:val="20"/>
                <w:szCs w:val="20"/>
              </w:rPr>
              <w:t>Written</w:t>
            </w:r>
          </w:p>
        </w:tc>
        <w:tc>
          <w:tcPr>
            <w:tcW w:w="1346" w:type="dxa"/>
            <w:shd w:val="clear" w:color="auto" w:fill="FFFFFF" w:themeFill="background1"/>
          </w:tcPr>
          <w:p w:rsidR="00B06AE6" w:rsidRPr="00B863D1" w:rsidRDefault="00B06AE6" w:rsidP="000D10AF">
            <w:pPr>
              <w:rPr>
                <w:sz w:val="20"/>
                <w:szCs w:val="20"/>
              </w:rPr>
            </w:pPr>
            <w:r w:rsidRPr="00B863D1">
              <w:rPr>
                <w:sz w:val="20"/>
                <w:szCs w:val="20"/>
              </w:rPr>
              <w:t>Rev. #</w:t>
            </w:r>
          </w:p>
        </w:tc>
        <w:tc>
          <w:tcPr>
            <w:tcW w:w="2011" w:type="dxa"/>
            <w:shd w:val="clear" w:color="auto" w:fill="FFFFFF" w:themeFill="background1"/>
          </w:tcPr>
          <w:p w:rsidR="00B06AE6" w:rsidRPr="00B863D1" w:rsidRDefault="00B06AE6" w:rsidP="000D10AF">
            <w:pPr>
              <w:rPr>
                <w:sz w:val="20"/>
                <w:szCs w:val="20"/>
              </w:rPr>
            </w:pPr>
            <w:r w:rsidRPr="00B863D1">
              <w:rPr>
                <w:sz w:val="20"/>
                <w:szCs w:val="20"/>
              </w:rPr>
              <w:t>Date</w:t>
            </w:r>
          </w:p>
        </w:tc>
        <w:tc>
          <w:tcPr>
            <w:tcW w:w="2726" w:type="dxa"/>
            <w:shd w:val="clear" w:color="auto" w:fill="FFFFFF" w:themeFill="background1"/>
          </w:tcPr>
          <w:p w:rsidR="00B06AE6" w:rsidRPr="00B863D1" w:rsidRDefault="00B06AE6" w:rsidP="000D10AF">
            <w:pPr>
              <w:rPr>
                <w:sz w:val="20"/>
                <w:szCs w:val="20"/>
              </w:rPr>
            </w:pPr>
            <w:r w:rsidRPr="00B863D1">
              <w:rPr>
                <w:sz w:val="20"/>
                <w:szCs w:val="20"/>
              </w:rPr>
              <w:t>Revision Purpose</w:t>
            </w:r>
          </w:p>
        </w:tc>
        <w:tc>
          <w:tcPr>
            <w:tcW w:w="2033" w:type="dxa"/>
            <w:shd w:val="clear" w:color="auto" w:fill="FFFFFF" w:themeFill="background1"/>
          </w:tcPr>
          <w:p w:rsidR="00B06AE6" w:rsidRPr="00B863D1" w:rsidRDefault="00B06AE6" w:rsidP="000D10AF">
            <w:pPr>
              <w:rPr>
                <w:sz w:val="20"/>
                <w:szCs w:val="20"/>
              </w:rPr>
            </w:pPr>
            <w:r w:rsidRPr="00B863D1">
              <w:rPr>
                <w:sz w:val="20"/>
                <w:szCs w:val="20"/>
              </w:rPr>
              <w:t>Approver</w:t>
            </w:r>
          </w:p>
        </w:tc>
      </w:tr>
      <w:tr w:rsidR="00B06AE6" w:rsidRPr="00B863D1" w:rsidTr="000D10AF">
        <w:tc>
          <w:tcPr>
            <w:tcW w:w="1234" w:type="dxa"/>
            <w:shd w:val="clear" w:color="auto" w:fill="FFFFFF" w:themeFill="background1"/>
          </w:tcPr>
          <w:p w:rsidR="00B06AE6" w:rsidRPr="00B863D1" w:rsidRDefault="00B06AE6" w:rsidP="000D10AF">
            <w:pPr>
              <w:rPr>
                <w:sz w:val="20"/>
                <w:szCs w:val="20"/>
              </w:rPr>
            </w:pPr>
            <w:r>
              <w:rPr>
                <w:sz w:val="20"/>
                <w:szCs w:val="20"/>
              </w:rPr>
              <w:t>8/12/16</w:t>
            </w:r>
          </w:p>
        </w:tc>
        <w:tc>
          <w:tcPr>
            <w:tcW w:w="1346" w:type="dxa"/>
            <w:shd w:val="clear" w:color="auto" w:fill="FFFFFF" w:themeFill="background1"/>
          </w:tcPr>
          <w:p w:rsidR="00B06AE6" w:rsidRPr="00B863D1" w:rsidRDefault="00B06AE6" w:rsidP="000D10AF">
            <w:pPr>
              <w:rPr>
                <w:sz w:val="20"/>
                <w:szCs w:val="20"/>
              </w:rPr>
            </w:pPr>
          </w:p>
        </w:tc>
        <w:tc>
          <w:tcPr>
            <w:tcW w:w="2011" w:type="dxa"/>
            <w:shd w:val="clear" w:color="auto" w:fill="FFFFFF" w:themeFill="background1"/>
          </w:tcPr>
          <w:p w:rsidR="00B06AE6" w:rsidRPr="00B863D1" w:rsidRDefault="00B06AE6" w:rsidP="000D10AF">
            <w:pPr>
              <w:rPr>
                <w:sz w:val="20"/>
                <w:szCs w:val="20"/>
              </w:rPr>
            </w:pPr>
          </w:p>
        </w:tc>
        <w:tc>
          <w:tcPr>
            <w:tcW w:w="2726" w:type="dxa"/>
            <w:shd w:val="clear" w:color="auto" w:fill="FFFFFF" w:themeFill="background1"/>
          </w:tcPr>
          <w:p w:rsidR="00B06AE6" w:rsidRPr="00B863D1" w:rsidRDefault="00B06AE6" w:rsidP="000D10AF">
            <w:pPr>
              <w:rPr>
                <w:sz w:val="20"/>
                <w:szCs w:val="20"/>
              </w:rPr>
            </w:pPr>
          </w:p>
        </w:tc>
        <w:tc>
          <w:tcPr>
            <w:tcW w:w="2033" w:type="dxa"/>
            <w:shd w:val="clear" w:color="auto" w:fill="FFFFFF" w:themeFill="background1"/>
          </w:tcPr>
          <w:p w:rsidR="00B06AE6" w:rsidRPr="00B863D1" w:rsidRDefault="00B06AE6" w:rsidP="000D10AF">
            <w:pPr>
              <w:rPr>
                <w:sz w:val="20"/>
                <w:szCs w:val="20"/>
              </w:rPr>
            </w:pPr>
          </w:p>
        </w:tc>
      </w:tr>
    </w:tbl>
    <w:p w:rsidR="00AF3244" w:rsidRDefault="00B06AE6">
      <w:bookmarkStart w:id="0" w:name="_GoBack"/>
      <w:bookmarkEnd w:id="0"/>
    </w:p>
    <w:sectPr w:rsidR="00AF32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AE6" w:rsidRDefault="00B06AE6" w:rsidP="00855EF3">
      <w:pPr>
        <w:spacing w:after="0" w:line="240" w:lineRule="auto"/>
      </w:pPr>
      <w:r>
        <w:separator/>
      </w:r>
    </w:p>
  </w:endnote>
  <w:endnote w:type="continuationSeparator" w:id="0">
    <w:p w:rsidR="00B06AE6" w:rsidRDefault="00B06AE6" w:rsidP="0085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101" w:rsidRDefault="004351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F3" w:rsidRPr="00435101" w:rsidRDefault="00435101">
    <w:pPr>
      <w:pStyle w:val="Footer"/>
      <w:rPr>
        <w:color w:val="808080" w:themeColor="background1" w:themeShade="80"/>
        <w:sz w:val="18"/>
      </w:rPr>
    </w:pPr>
    <w:r w:rsidRPr="00435101">
      <w:rPr>
        <w:color w:val="808080" w:themeColor="background1" w:themeShade="80"/>
        <w:sz w:val="18"/>
      </w:rPr>
      <w:fldChar w:fldCharType="begin"/>
    </w:r>
    <w:r w:rsidRPr="00435101">
      <w:rPr>
        <w:color w:val="808080" w:themeColor="background1" w:themeShade="80"/>
        <w:sz w:val="18"/>
      </w:rPr>
      <w:instrText xml:space="preserve"> FILENAME  \* Lower \p  \* MERGEFORMAT </w:instrText>
    </w:r>
    <w:r w:rsidRPr="00435101">
      <w:rPr>
        <w:color w:val="808080" w:themeColor="background1" w:themeShade="80"/>
        <w:sz w:val="18"/>
      </w:rPr>
      <w:fldChar w:fldCharType="separate"/>
    </w:r>
    <w:r>
      <w:rPr>
        <w:noProof/>
        <w:color w:val="808080" w:themeColor="background1" w:themeShade="80"/>
        <w:sz w:val="18"/>
      </w:rPr>
      <w:t>c:\users\cswenson\appdata\roaming\microsoft\templates\normal.dotm</w:t>
    </w:r>
    <w:r w:rsidRPr="00435101">
      <w:rPr>
        <w:color w:val="808080" w:themeColor="background1" w:themeShade="80"/>
        <w:sz w:val="18"/>
      </w:rPr>
      <w:fldChar w:fldCharType="end"/>
    </w:r>
    <w:r w:rsidRPr="00435101">
      <w:rPr>
        <w:color w:val="808080" w:themeColor="background1" w:themeShade="80"/>
        <w:sz w:val="18"/>
      </w:rPr>
      <w:tab/>
    </w:r>
    <w:r w:rsidRPr="00435101">
      <w:rPr>
        <w:color w:val="808080" w:themeColor="background1" w:themeShade="80"/>
        <w:sz w:val="18"/>
      </w:rPr>
      <w:fldChar w:fldCharType="begin"/>
    </w:r>
    <w:r w:rsidRPr="00435101">
      <w:rPr>
        <w:color w:val="808080" w:themeColor="background1" w:themeShade="80"/>
        <w:sz w:val="18"/>
      </w:rPr>
      <w:instrText xml:space="preserve"> SAVEDATE  \@ "M/d/yyyy"  \* MERGEFORMAT </w:instrText>
    </w:r>
    <w:r w:rsidRPr="00435101">
      <w:rPr>
        <w:color w:val="808080" w:themeColor="background1" w:themeShade="80"/>
        <w:sz w:val="18"/>
      </w:rPr>
      <w:fldChar w:fldCharType="separate"/>
    </w:r>
    <w:r w:rsidR="00B06AE6">
      <w:rPr>
        <w:noProof/>
        <w:color w:val="808080" w:themeColor="background1" w:themeShade="80"/>
        <w:sz w:val="18"/>
      </w:rPr>
      <w:t>0/0/0000</w:t>
    </w:r>
    <w:r w:rsidRPr="00435101">
      <w:rPr>
        <w:color w:val="808080" w:themeColor="background1" w:themeShade="80"/>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101" w:rsidRDefault="00435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AE6" w:rsidRDefault="00B06AE6" w:rsidP="00855EF3">
      <w:pPr>
        <w:spacing w:after="0" w:line="240" w:lineRule="auto"/>
      </w:pPr>
      <w:r>
        <w:separator/>
      </w:r>
    </w:p>
  </w:footnote>
  <w:footnote w:type="continuationSeparator" w:id="0">
    <w:p w:rsidR="00B06AE6" w:rsidRDefault="00B06AE6" w:rsidP="00855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101" w:rsidRDefault="004351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F3" w:rsidRPr="00435101" w:rsidRDefault="00855EF3" w:rsidP="00855EF3">
    <w:pPr>
      <w:pStyle w:val="Header"/>
      <w:jc w:val="center"/>
      <w:rPr>
        <w:b/>
        <w:sz w:val="32"/>
        <w:szCs w:val="28"/>
      </w:rPr>
    </w:pPr>
    <w:r w:rsidRPr="00435101">
      <w:rPr>
        <w:b/>
        <w:sz w:val="32"/>
        <w:szCs w:val="28"/>
      </w:rPr>
      <w:t>Del Puerto Health Care District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101" w:rsidRDefault="00435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E6"/>
    <w:rsid w:val="00435101"/>
    <w:rsid w:val="005D2350"/>
    <w:rsid w:val="00855EF3"/>
    <w:rsid w:val="00B06AE6"/>
    <w:rsid w:val="00EC63B3"/>
    <w:rsid w:val="00FA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36FC0-7743-4633-B7F9-E91F0973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EF3"/>
  </w:style>
  <w:style w:type="paragraph" w:styleId="Footer">
    <w:name w:val="footer"/>
    <w:basedOn w:val="Normal"/>
    <w:link w:val="FooterChar"/>
    <w:uiPriority w:val="99"/>
    <w:unhideWhenUsed/>
    <w:rsid w:val="00855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EF3"/>
  </w:style>
  <w:style w:type="table" w:styleId="TableGrid">
    <w:name w:val="Table Grid"/>
    <w:basedOn w:val="TableNormal"/>
    <w:uiPriority w:val="39"/>
    <w:rsid w:val="00B0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Swenson</dc:creator>
  <cp:keywords/>
  <dc:description/>
  <cp:lastModifiedBy>Cherie Swenson</cp:lastModifiedBy>
  <cp:revision>1</cp:revision>
  <dcterms:created xsi:type="dcterms:W3CDTF">2017-01-31T16:51:00Z</dcterms:created>
  <dcterms:modified xsi:type="dcterms:W3CDTF">2017-01-31T16:53:00Z</dcterms:modified>
</cp:coreProperties>
</file>